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2C13D" w14:textId="1B2DF1B8" w:rsidR="00C21DEF" w:rsidRPr="00345D61" w:rsidRDefault="008E2E7D" w:rsidP="009C3F03">
      <w:pPr>
        <w:rPr>
          <w:rFonts w:ascii="Arial" w:hAnsi="Arial" w:cs="Arial"/>
          <w:spacing w:val="20"/>
          <w:sz w:val="20"/>
          <w:szCs w:val="20"/>
        </w:rPr>
      </w:pPr>
      <w:r>
        <w:rPr>
          <w:noProof/>
          <w:lang w:eastAsia="it-IT"/>
        </w:rPr>
        <mc:AlternateContent>
          <mc:Choice Requires="wps">
            <w:drawing>
              <wp:anchor distT="0" distB="0" distL="114300" distR="114300" simplePos="0" relativeHeight="251657728" behindDoc="0" locked="0" layoutInCell="1" allowOverlap="1" wp14:anchorId="07D8A134" wp14:editId="23D7719A">
                <wp:simplePos x="0" y="0"/>
                <wp:positionH relativeFrom="column">
                  <wp:posOffset>3797300</wp:posOffset>
                </wp:positionH>
                <wp:positionV relativeFrom="page">
                  <wp:posOffset>485140</wp:posOffset>
                </wp:positionV>
                <wp:extent cx="1475740" cy="259715"/>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F430D" w14:textId="77777777" w:rsidR="006844FA" w:rsidRPr="00632447" w:rsidRDefault="006844FA" w:rsidP="00E70158">
                            <w:pPr>
                              <w:jc w:val="right"/>
                              <w:rPr>
                                <w:rFonts w:ascii="Arial Narrow" w:hAnsi="Arial Narrow"/>
                                <w:b/>
                                <w:color w:val="5F5F5F"/>
                                <w:sz w:val="26"/>
                                <w:szCs w:val="26"/>
                              </w:rPr>
                            </w:pPr>
                            <w:r>
                              <w:rPr>
                                <w:rFonts w:ascii="Arial Narrow" w:hAnsi="Arial Narrow"/>
                                <w:b/>
                                <w:color w:val="5F5F5F"/>
                                <w:sz w:val="26"/>
                                <w:szCs w:val="26"/>
                              </w:rPr>
                              <w:t>8</w:t>
                            </w:r>
                            <w:r w:rsidRPr="00632447">
                              <w:rPr>
                                <w:rFonts w:ascii="Arial Narrow" w:hAnsi="Arial Narrow"/>
                                <w:b/>
                                <w:color w:val="5F5F5F"/>
                                <w:sz w:val="26"/>
                                <w:szCs w:val="26"/>
                              </w:rPr>
                              <w:t xml:space="preserve"> </w:t>
                            </w:r>
                            <w:r>
                              <w:rPr>
                                <w:rFonts w:ascii="Arial Narrow" w:hAnsi="Arial Narrow"/>
                                <w:b/>
                                <w:color w:val="5F5F5F"/>
                                <w:sz w:val="26"/>
                                <w:szCs w:val="26"/>
                              </w:rPr>
                              <w:t>Giugno</w:t>
                            </w:r>
                            <w:r w:rsidRPr="00632447">
                              <w:rPr>
                                <w:rFonts w:ascii="Arial Narrow" w:hAnsi="Arial Narrow"/>
                                <w:b/>
                                <w:color w:val="5F5F5F"/>
                                <w:sz w:val="26"/>
                                <w:szCs w:val="26"/>
                              </w:rPr>
                              <w:t xml:space="preserve"> 20</w:t>
                            </w:r>
                            <w:r>
                              <w:rPr>
                                <w:rFonts w:ascii="Arial Narrow" w:hAnsi="Arial Narrow"/>
                                <w:b/>
                                <w:color w:val="5F5F5F"/>
                                <w:sz w:val="26"/>
                                <w:szCs w:val="26"/>
                              </w:rPr>
                              <w:t>20</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8A134" id="_x0000_t202" coordsize="21600,21600" o:spt="202" path="m,l,21600r21600,l21600,xe">
                <v:stroke joinstyle="miter"/>
                <v:path gradientshapeok="t" o:connecttype="rect"/>
              </v:shapetype>
              <v:shape id="Text Box 29" o:spid="_x0000_s1026" type="#_x0000_t202" style="position:absolute;margin-left:299pt;margin-top:38.2pt;width:116.2pt;height: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" filled="f" stroked="f">
                <v:textbox inset=".5mm,.3mm,.5mm,.3mm">
                  <w:txbxContent>
                    <w:p w14:paraId="453F430D" w14:textId="77777777" w:rsidR="006844FA" w:rsidRPr="00632447" w:rsidRDefault="006844FA" w:rsidP="00E70158">
                      <w:pPr>
                        <w:jc w:val="right"/>
                        <w:rPr>
                          <w:rFonts w:ascii="Arial Narrow" w:hAnsi="Arial Narrow"/>
                          <w:b/>
                          <w:color w:val="5F5F5F"/>
                          <w:sz w:val="26"/>
                          <w:szCs w:val="26"/>
                        </w:rPr>
                      </w:pPr>
                      <w:r>
                        <w:rPr>
                          <w:rFonts w:ascii="Arial Narrow" w:hAnsi="Arial Narrow"/>
                          <w:b/>
                          <w:color w:val="5F5F5F"/>
                          <w:sz w:val="26"/>
                          <w:szCs w:val="26"/>
                        </w:rPr>
                        <w:t>8</w:t>
                      </w:r>
                      <w:r w:rsidRPr="00632447">
                        <w:rPr>
                          <w:rFonts w:ascii="Arial Narrow" w:hAnsi="Arial Narrow"/>
                          <w:b/>
                          <w:color w:val="5F5F5F"/>
                          <w:sz w:val="26"/>
                          <w:szCs w:val="26"/>
                        </w:rPr>
                        <w:t xml:space="preserve"> </w:t>
                      </w:r>
                      <w:proofErr w:type="gramStart"/>
                      <w:r>
                        <w:rPr>
                          <w:rFonts w:ascii="Arial Narrow" w:hAnsi="Arial Narrow"/>
                          <w:b/>
                          <w:color w:val="5F5F5F"/>
                          <w:sz w:val="26"/>
                          <w:szCs w:val="26"/>
                        </w:rPr>
                        <w:t>Giugno</w:t>
                      </w:r>
                      <w:proofErr w:type="gramEnd"/>
                      <w:r w:rsidRPr="00632447">
                        <w:rPr>
                          <w:rFonts w:ascii="Arial Narrow" w:hAnsi="Arial Narrow"/>
                          <w:b/>
                          <w:color w:val="5F5F5F"/>
                          <w:sz w:val="26"/>
                          <w:szCs w:val="26"/>
                        </w:rPr>
                        <w:t xml:space="preserve"> 20</w:t>
                      </w:r>
                      <w:r>
                        <w:rPr>
                          <w:rFonts w:ascii="Arial Narrow" w:hAnsi="Arial Narrow"/>
                          <w:b/>
                          <w:color w:val="5F5F5F"/>
                          <w:sz w:val="26"/>
                          <w:szCs w:val="26"/>
                        </w:rPr>
                        <w:t>20</w:t>
                      </w:r>
                    </w:p>
                  </w:txbxContent>
                </v:textbox>
                <w10:wrap anchory="page"/>
              </v:shape>
            </w:pict>
          </mc:Fallback>
        </mc:AlternateContent>
      </w:r>
      <w:r w:rsidRPr="00F30A12">
        <w:rPr>
          <w:rFonts w:ascii="Arial" w:hAnsi="Arial" w:cs="Arial"/>
          <w:noProof/>
          <w:sz w:val="20"/>
          <w:szCs w:val="20"/>
          <w:lang w:eastAsia="it-IT"/>
        </w:rPr>
        <w:drawing>
          <wp:inline distT="0" distB="0" distL="0" distR="0" wp14:anchorId="1CACF3E0" wp14:editId="4339C2FD">
            <wp:extent cx="6624955" cy="1265555"/>
            <wp:effectExtent l="0" t="0" r="0" b="0"/>
            <wp:docPr id="1" name="Immagine 2" descr="https://collaborazione.istat.it/siti/ed/ufficio_stampa/Note%20stampa%20e%20comunicati/LAYOUT%20E%20FORMAT/TESTATINE/testatine_Previsio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s://collaborazione.istat.it/siti/ed/ufficio_stampa/Note%20stampa%20e%20comunicati/LAYOUT%20E%20FORMAT/TESTATINE/testatine_Prevision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4955" cy="1265555"/>
                    </a:xfrm>
                    <a:prstGeom prst="rect">
                      <a:avLst/>
                    </a:prstGeom>
                    <a:noFill/>
                    <a:ln>
                      <a:noFill/>
                    </a:ln>
                  </pic:spPr>
                </pic:pic>
              </a:graphicData>
            </a:graphic>
          </wp:inline>
        </w:drawing>
      </w:r>
    </w:p>
    <w:p w14:paraId="173C07F8" w14:textId="77777777" w:rsidR="00C21DEF" w:rsidRPr="00BA5651" w:rsidRDefault="00C21DEF" w:rsidP="00BA5651">
      <w:pPr>
        <w:pStyle w:val="02titolone"/>
      </w:pPr>
      <w:r w:rsidRPr="00BA5651">
        <w:t xml:space="preserve">LE PROSPETTIVE PER L’ECONOMIA </w:t>
      </w:r>
      <w:r w:rsidRPr="00BA5651">
        <w:br/>
        <w:t xml:space="preserve">ITALIANA NEL </w:t>
      </w:r>
      <w:r w:rsidR="00C666AE" w:rsidRPr="00BA5651">
        <w:t>20</w:t>
      </w:r>
      <w:r w:rsidR="00756F43">
        <w:t>20</w:t>
      </w:r>
      <w:r w:rsidR="00B53891" w:rsidRPr="00BA5651">
        <w:t>-20</w:t>
      </w:r>
      <w:r w:rsidR="007543A9">
        <w:t>2</w:t>
      </w:r>
      <w:r w:rsidR="00756F43">
        <w:t>1</w:t>
      </w:r>
    </w:p>
    <w:p w14:paraId="750A8185" w14:textId="77777777" w:rsidR="00341FC4" w:rsidRPr="00345D61" w:rsidRDefault="00341FC4" w:rsidP="00C7352F">
      <w:pPr>
        <w:pStyle w:val="01testo"/>
        <w:spacing w:after="0"/>
      </w:pPr>
    </w:p>
    <w:p w14:paraId="2F17AFA6" w14:textId="334DEECC" w:rsidR="000C6DED" w:rsidRPr="006B1563" w:rsidRDefault="00CF3F67" w:rsidP="006F24C9">
      <w:pPr>
        <w:pStyle w:val="015elencoquadretto"/>
        <w:spacing w:after="100"/>
        <w:ind w:left="1814"/>
        <w:rPr>
          <w:spacing w:val="2"/>
        </w:rPr>
      </w:pPr>
      <w:r w:rsidRPr="006B1563">
        <w:rPr>
          <w:spacing w:val="2"/>
          <w:szCs w:val="20"/>
        </w:rPr>
        <w:t>Alla fine del 2019</w:t>
      </w:r>
      <w:r w:rsidR="00052387" w:rsidRPr="006B1563">
        <w:rPr>
          <w:spacing w:val="2"/>
          <w:szCs w:val="20"/>
        </w:rPr>
        <w:t>,</w:t>
      </w:r>
      <w:r w:rsidRPr="006B1563">
        <w:rPr>
          <w:spacing w:val="2"/>
          <w:szCs w:val="20"/>
        </w:rPr>
        <w:t xml:space="preserve"> l’economia italiana presentava evidenti segnali di stagnazione</w:t>
      </w:r>
      <w:r w:rsidR="00455263" w:rsidRPr="006B1563">
        <w:rPr>
          <w:spacing w:val="2"/>
          <w:szCs w:val="20"/>
        </w:rPr>
        <w:t>,</w:t>
      </w:r>
      <w:r w:rsidRPr="006B1563">
        <w:rPr>
          <w:spacing w:val="2"/>
          <w:szCs w:val="20"/>
        </w:rPr>
        <w:t xml:space="preserve"> solo in parte </w:t>
      </w:r>
      <w:r w:rsidR="00455263" w:rsidRPr="006B1563">
        <w:rPr>
          <w:spacing w:val="2"/>
          <w:szCs w:val="20"/>
        </w:rPr>
        <w:t>mitigati</w:t>
      </w:r>
      <w:r w:rsidR="00BE1920" w:rsidRPr="006B1563">
        <w:rPr>
          <w:spacing w:val="2"/>
          <w:szCs w:val="20"/>
        </w:rPr>
        <w:t>, a inizio 2020,</w:t>
      </w:r>
      <w:r w:rsidRPr="006B1563">
        <w:rPr>
          <w:spacing w:val="2"/>
          <w:szCs w:val="20"/>
        </w:rPr>
        <w:t xml:space="preserve"> da alcun</w:t>
      </w:r>
      <w:r w:rsidR="00052387" w:rsidRPr="006B1563">
        <w:rPr>
          <w:spacing w:val="2"/>
          <w:szCs w:val="20"/>
        </w:rPr>
        <w:t>i segnali positivi</w:t>
      </w:r>
      <w:r w:rsidR="00A72730" w:rsidRPr="006B1563">
        <w:rPr>
          <w:spacing w:val="2"/>
          <w:szCs w:val="20"/>
        </w:rPr>
        <w:t xml:space="preserve"> </w:t>
      </w:r>
      <w:r w:rsidRPr="006B1563">
        <w:rPr>
          <w:spacing w:val="2"/>
          <w:szCs w:val="20"/>
        </w:rPr>
        <w:t>sulla produzione industriale e il commercio estero. A partire da fine febbraio</w:t>
      </w:r>
      <w:r w:rsidR="00052387" w:rsidRPr="006B1563">
        <w:rPr>
          <w:spacing w:val="2"/>
          <w:szCs w:val="20"/>
        </w:rPr>
        <w:t>,</w:t>
      </w:r>
      <w:r w:rsidRPr="006B1563">
        <w:rPr>
          <w:spacing w:val="2"/>
          <w:szCs w:val="20"/>
        </w:rPr>
        <w:t xml:space="preserve"> il dilagare dell’epidemia</w:t>
      </w:r>
      <w:r w:rsidR="00052387" w:rsidRPr="006B1563">
        <w:rPr>
          <w:spacing w:val="2"/>
          <w:szCs w:val="20"/>
        </w:rPr>
        <w:t xml:space="preserve"> di COVID-19</w:t>
      </w:r>
      <w:r w:rsidRPr="006B1563">
        <w:rPr>
          <w:spacing w:val="2"/>
          <w:szCs w:val="20"/>
        </w:rPr>
        <w:t xml:space="preserve"> e i </w:t>
      </w:r>
      <w:r w:rsidR="00052387" w:rsidRPr="006B1563">
        <w:rPr>
          <w:spacing w:val="2"/>
          <w:szCs w:val="20"/>
        </w:rPr>
        <w:t>conseguenti</w:t>
      </w:r>
      <w:r w:rsidRPr="006B1563">
        <w:rPr>
          <w:spacing w:val="2"/>
          <w:szCs w:val="20"/>
        </w:rPr>
        <w:t xml:space="preserve"> provvedimenti </w:t>
      </w:r>
      <w:r w:rsidR="00052387" w:rsidRPr="006B1563">
        <w:rPr>
          <w:spacing w:val="2"/>
          <w:szCs w:val="20"/>
        </w:rPr>
        <w:t xml:space="preserve">di contenimento </w:t>
      </w:r>
      <w:r w:rsidRPr="006B1563">
        <w:rPr>
          <w:spacing w:val="2"/>
          <w:szCs w:val="20"/>
        </w:rPr>
        <w:t xml:space="preserve">decisi dal Governo hanno </w:t>
      </w:r>
      <w:r w:rsidR="00455263" w:rsidRPr="006B1563">
        <w:rPr>
          <w:spacing w:val="2"/>
          <w:szCs w:val="20"/>
        </w:rPr>
        <w:t>determinato</w:t>
      </w:r>
      <w:r w:rsidR="00052387" w:rsidRPr="006B1563">
        <w:rPr>
          <w:spacing w:val="2"/>
          <w:szCs w:val="20"/>
        </w:rPr>
        <w:t xml:space="preserve"> </w:t>
      </w:r>
      <w:r w:rsidR="00A72730" w:rsidRPr="006B1563">
        <w:rPr>
          <w:spacing w:val="2"/>
          <w:szCs w:val="20"/>
        </w:rPr>
        <w:t>un impatto profond</w:t>
      </w:r>
      <w:r w:rsidR="00455263" w:rsidRPr="006B1563">
        <w:rPr>
          <w:spacing w:val="2"/>
          <w:szCs w:val="20"/>
        </w:rPr>
        <w:t>o</w:t>
      </w:r>
      <w:r w:rsidR="00A72730" w:rsidRPr="006B1563">
        <w:rPr>
          <w:spacing w:val="2"/>
          <w:szCs w:val="20"/>
        </w:rPr>
        <w:t xml:space="preserve"> </w:t>
      </w:r>
      <w:r w:rsidR="00052387" w:rsidRPr="006B1563">
        <w:rPr>
          <w:spacing w:val="2"/>
          <w:szCs w:val="20"/>
        </w:rPr>
        <w:t>sull’economia</w:t>
      </w:r>
      <w:r w:rsidR="00D2680D">
        <w:rPr>
          <w:spacing w:val="2"/>
          <w:szCs w:val="20"/>
        </w:rPr>
        <w:t>,</w:t>
      </w:r>
      <w:r w:rsidR="00052387" w:rsidRPr="006B1563">
        <w:rPr>
          <w:spacing w:val="2"/>
          <w:szCs w:val="20"/>
        </w:rPr>
        <w:t xml:space="preserve"> </w:t>
      </w:r>
      <w:r w:rsidRPr="006B1563">
        <w:rPr>
          <w:spacing w:val="2"/>
          <w:szCs w:val="20"/>
        </w:rPr>
        <w:t>alterando le scelte</w:t>
      </w:r>
      <w:r w:rsidR="00455263" w:rsidRPr="006B1563">
        <w:rPr>
          <w:spacing w:val="2"/>
          <w:szCs w:val="20"/>
        </w:rPr>
        <w:t xml:space="preserve"> e le possibilità</w:t>
      </w:r>
      <w:r w:rsidRPr="006B1563">
        <w:rPr>
          <w:spacing w:val="2"/>
          <w:szCs w:val="20"/>
        </w:rPr>
        <w:t xml:space="preserve"> di produzione</w:t>
      </w:r>
      <w:r w:rsidR="00BE1920" w:rsidRPr="006B1563">
        <w:rPr>
          <w:spacing w:val="2"/>
          <w:szCs w:val="20"/>
        </w:rPr>
        <w:t>,</w:t>
      </w:r>
      <w:r w:rsidRPr="006B1563">
        <w:rPr>
          <w:spacing w:val="2"/>
          <w:szCs w:val="20"/>
        </w:rPr>
        <w:t xml:space="preserve"> investimento</w:t>
      </w:r>
      <w:r w:rsidR="00BE1920" w:rsidRPr="006B1563">
        <w:rPr>
          <w:spacing w:val="2"/>
          <w:szCs w:val="20"/>
        </w:rPr>
        <w:t xml:space="preserve"> e</w:t>
      </w:r>
      <w:r w:rsidR="00A72730" w:rsidRPr="006B1563">
        <w:rPr>
          <w:spacing w:val="2"/>
          <w:szCs w:val="20"/>
        </w:rPr>
        <w:t xml:space="preserve"> </w:t>
      </w:r>
      <w:r w:rsidRPr="006B1563">
        <w:rPr>
          <w:spacing w:val="2"/>
          <w:szCs w:val="20"/>
        </w:rPr>
        <w:t>consumo e</w:t>
      </w:r>
      <w:r w:rsidR="00455263" w:rsidRPr="006B1563">
        <w:rPr>
          <w:spacing w:val="2"/>
          <w:szCs w:val="20"/>
        </w:rPr>
        <w:t>d i</w:t>
      </w:r>
      <w:r w:rsidR="00CA19A0" w:rsidRPr="006B1563">
        <w:rPr>
          <w:spacing w:val="2"/>
          <w:szCs w:val="20"/>
        </w:rPr>
        <w:t>l</w:t>
      </w:r>
      <w:r w:rsidR="00455263" w:rsidRPr="006B1563">
        <w:rPr>
          <w:spacing w:val="2"/>
          <w:szCs w:val="20"/>
        </w:rPr>
        <w:t xml:space="preserve"> funzionamento del</w:t>
      </w:r>
      <w:r w:rsidRPr="006B1563">
        <w:rPr>
          <w:spacing w:val="2"/>
          <w:szCs w:val="20"/>
        </w:rPr>
        <w:t xml:space="preserve"> mercato del lavoro. Inoltre</w:t>
      </w:r>
      <w:r w:rsidR="00052387" w:rsidRPr="006B1563">
        <w:rPr>
          <w:spacing w:val="2"/>
          <w:szCs w:val="20"/>
        </w:rPr>
        <w:t>,</w:t>
      </w:r>
      <w:r w:rsidRPr="006B1563">
        <w:rPr>
          <w:spacing w:val="2"/>
          <w:szCs w:val="20"/>
        </w:rPr>
        <w:t xml:space="preserve"> </w:t>
      </w:r>
      <w:r w:rsidR="00052387" w:rsidRPr="006B1563">
        <w:rPr>
          <w:spacing w:val="2"/>
          <w:szCs w:val="20"/>
        </w:rPr>
        <w:t xml:space="preserve">la rapida diffusione </w:t>
      </w:r>
      <w:r w:rsidRPr="006B1563">
        <w:rPr>
          <w:spacing w:val="2"/>
          <w:szCs w:val="20"/>
        </w:rPr>
        <w:t xml:space="preserve">dell’epidemia </w:t>
      </w:r>
      <w:r w:rsidR="00052387" w:rsidRPr="006B1563">
        <w:rPr>
          <w:spacing w:val="2"/>
          <w:szCs w:val="20"/>
        </w:rPr>
        <w:t xml:space="preserve">a livello </w:t>
      </w:r>
      <w:r w:rsidR="00CA19A0" w:rsidRPr="006B1563">
        <w:rPr>
          <w:spacing w:val="2"/>
          <w:szCs w:val="20"/>
        </w:rPr>
        <w:t>globale</w:t>
      </w:r>
      <w:r w:rsidR="00052387" w:rsidRPr="006B1563">
        <w:rPr>
          <w:spacing w:val="2"/>
          <w:szCs w:val="20"/>
        </w:rPr>
        <w:t xml:space="preserve"> ha </w:t>
      </w:r>
      <w:r w:rsidR="00CA19A0" w:rsidRPr="006B1563">
        <w:rPr>
          <w:spacing w:val="2"/>
          <w:szCs w:val="20"/>
        </w:rPr>
        <w:t>drasticamente ridott</w:t>
      </w:r>
      <w:r w:rsidR="00DB0904" w:rsidRPr="006B1563">
        <w:rPr>
          <w:spacing w:val="2"/>
          <w:szCs w:val="20"/>
        </w:rPr>
        <w:t>o</w:t>
      </w:r>
      <w:r w:rsidR="00CA19A0" w:rsidRPr="006B1563">
        <w:rPr>
          <w:spacing w:val="2"/>
          <w:szCs w:val="20"/>
        </w:rPr>
        <w:t xml:space="preserve"> gli scambi internazionali</w:t>
      </w:r>
      <w:r w:rsidR="00455263" w:rsidRPr="006B1563">
        <w:rPr>
          <w:spacing w:val="2"/>
          <w:szCs w:val="20"/>
        </w:rPr>
        <w:t xml:space="preserve"> e quindi la domanda estera rivolta alle nostre imprese</w:t>
      </w:r>
      <w:r w:rsidRPr="006B1563">
        <w:rPr>
          <w:spacing w:val="2"/>
          <w:szCs w:val="20"/>
        </w:rPr>
        <w:t>.</w:t>
      </w:r>
    </w:p>
    <w:p w14:paraId="3ABA2F2C" w14:textId="76C3AF0B" w:rsidR="00970A58" w:rsidRPr="006B1563" w:rsidRDefault="00970A58" w:rsidP="006F24C9">
      <w:pPr>
        <w:pStyle w:val="015elencoquadretto"/>
        <w:spacing w:after="100"/>
        <w:ind w:left="1814"/>
        <w:rPr>
          <w:spacing w:val="2"/>
        </w:rPr>
      </w:pPr>
      <w:r w:rsidRPr="006B1563">
        <w:rPr>
          <w:spacing w:val="2"/>
        </w:rPr>
        <w:t>L’Istat ha</w:t>
      </w:r>
      <w:r w:rsidR="00BE1920" w:rsidRPr="006B1563">
        <w:rPr>
          <w:spacing w:val="2"/>
        </w:rPr>
        <w:t xml:space="preserve"> tempestivamente </w:t>
      </w:r>
      <w:r w:rsidR="000C4CEE" w:rsidRPr="006B1563">
        <w:rPr>
          <w:spacing w:val="2"/>
        </w:rPr>
        <w:t>messo in atto</w:t>
      </w:r>
      <w:r w:rsidR="00455263" w:rsidRPr="006B1563">
        <w:rPr>
          <w:spacing w:val="2"/>
        </w:rPr>
        <w:t xml:space="preserve"> numerose e coordinate</w:t>
      </w:r>
      <w:r w:rsidR="00CA19A0" w:rsidRPr="006B1563">
        <w:rPr>
          <w:spacing w:val="2"/>
        </w:rPr>
        <w:t xml:space="preserve"> </w:t>
      </w:r>
      <w:r w:rsidRPr="006B1563">
        <w:rPr>
          <w:spacing w:val="2"/>
        </w:rPr>
        <w:t xml:space="preserve">attività </w:t>
      </w:r>
      <w:r w:rsidR="00BE1920" w:rsidRPr="006B1563">
        <w:rPr>
          <w:spacing w:val="2"/>
        </w:rPr>
        <w:t>per</w:t>
      </w:r>
      <w:r w:rsidRPr="006B1563">
        <w:rPr>
          <w:spacing w:val="2"/>
        </w:rPr>
        <w:t xml:space="preserve"> </w:t>
      </w:r>
      <w:r w:rsidR="00BE1920" w:rsidRPr="006B1563">
        <w:rPr>
          <w:spacing w:val="2"/>
        </w:rPr>
        <w:t xml:space="preserve">fornire </w:t>
      </w:r>
      <w:r w:rsidR="00455263" w:rsidRPr="006B1563">
        <w:rPr>
          <w:spacing w:val="2"/>
        </w:rPr>
        <w:t xml:space="preserve">informazioni utili a valutare </w:t>
      </w:r>
      <w:r w:rsidRPr="006B1563">
        <w:rPr>
          <w:spacing w:val="2"/>
        </w:rPr>
        <w:t>gli impatti economici del COVID-19</w:t>
      </w:r>
      <w:r w:rsidR="00455263" w:rsidRPr="006B1563">
        <w:rPr>
          <w:spacing w:val="2"/>
        </w:rPr>
        <w:t>,</w:t>
      </w:r>
      <w:r w:rsidR="00BE1920" w:rsidRPr="006B1563">
        <w:rPr>
          <w:spacing w:val="2"/>
        </w:rPr>
        <w:t xml:space="preserve"> </w:t>
      </w:r>
      <w:r w:rsidR="00A72730" w:rsidRPr="006B1563">
        <w:rPr>
          <w:spacing w:val="2"/>
        </w:rPr>
        <w:t xml:space="preserve">predisponendo </w:t>
      </w:r>
      <w:r w:rsidR="00455263" w:rsidRPr="006B1563">
        <w:rPr>
          <w:spacing w:val="2"/>
        </w:rPr>
        <w:t xml:space="preserve">e diffondendo </w:t>
      </w:r>
      <w:r w:rsidR="00C51143" w:rsidRPr="006B1563">
        <w:rPr>
          <w:spacing w:val="2"/>
        </w:rPr>
        <w:t xml:space="preserve">nuove </w:t>
      </w:r>
      <w:r w:rsidR="00455263" w:rsidRPr="006B1563">
        <w:rPr>
          <w:spacing w:val="2"/>
        </w:rPr>
        <w:t xml:space="preserve">basi </w:t>
      </w:r>
      <w:r w:rsidR="00D2680D">
        <w:rPr>
          <w:spacing w:val="2"/>
        </w:rPr>
        <w:t xml:space="preserve">di </w:t>
      </w:r>
      <w:r w:rsidR="00455263" w:rsidRPr="006B1563">
        <w:rPr>
          <w:spacing w:val="2"/>
        </w:rPr>
        <w:t xml:space="preserve">dati e </w:t>
      </w:r>
      <w:r w:rsidR="00A72730" w:rsidRPr="006B1563">
        <w:rPr>
          <w:spacing w:val="2"/>
        </w:rPr>
        <w:t>analisi</w:t>
      </w:r>
      <w:r w:rsidR="008269DC" w:rsidRPr="006B1563">
        <w:rPr>
          <w:rStyle w:val="Rimandonotaapidipagina"/>
          <w:spacing w:val="2"/>
          <w:szCs w:val="20"/>
        </w:rPr>
        <w:footnoteReference w:id="2"/>
      </w:r>
      <w:r w:rsidRPr="006B1563">
        <w:rPr>
          <w:spacing w:val="2"/>
        </w:rPr>
        <w:t>. In particolare</w:t>
      </w:r>
      <w:r w:rsidR="00BE1920" w:rsidRPr="006B1563">
        <w:rPr>
          <w:spacing w:val="2"/>
        </w:rPr>
        <w:t>,</w:t>
      </w:r>
      <w:r w:rsidRPr="006B1563">
        <w:rPr>
          <w:spacing w:val="2"/>
        </w:rPr>
        <w:t xml:space="preserve"> è stato </w:t>
      </w:r>
      <w:r w:rsidR="00BE1920" w:rsidRPr="006B1563">
        <w:rPr>
          <w:spacing w:val="2"/>
        </w:rPr>
        <w:t xml:space="preserve">offerto </w:t>
      </w:r>
      <w:r w:rsidRPr="006B1563">
        <w:rPr>
          <w:spacing w:val="2"/>
        </w:rPr>
        <w:t xml:space="preserve">un quadro costantemente aggiornato del numero di imprese e di occupati coinvolti dai successivi provvedimenti di </w:t>
      </w:r>
      <w:r w:rsidRPr="006B1563">
        <w:rPr>
          <w:i/>
          <w:spacing w:val="2"/>
        </w:rPr>
        <w:t>lockdown</w:t>
      </w:r>
      <w:r w:rsidRPr="006B1563">
        <w:rPr>
          <w:spacing w:val="2"/>
        </w:rPr>
        <w:t>, congiuntamente alle caratterist</w:t>
      </w:r>
      <w:r w:rsidR="001F63C1" w:rsidRPr="006B1563">
        <w:rPr>
          <w:spacing w:val="2"/>
        </w:rPr>
        <w:t xml:space="preserve">iche </w:t>
      </w:r>
      <w:r w:rsidR="00D2680D">
        <w:rPr>
          <w:spacing w:val="2"/>
        </w:rPr>
        <w:t xml:space="preserve">strutturali </w:t>
      </w:r>
      <w:r w:rsidR="001F63C1" w:rsidRPr="006B1563">
        <w:rPr>
          <w:spacing w:val="2"/>
        </w:rPr>
        <w:t xml:space="preserve">delle imprese </w:t>
      </w:r>
      <w:r w:rsidR="00144886">
        <w:rPr>
          <w:spacing w:val="2"/>
        </w:rPr>
        <w:t xml:space="preserve">e </w:t>
      </w:r>
      <w:r w:rsidR="00D2680D">
        <w:rPr>
          <w:spacing w:val="2"/>
        </w:rPr>
        <w:t>alla loro dimensione e risultati economici</w:t>
      </w:r>
      <w:r w:rsidRPr="006B1563">
        <w:rPr>
          <w:spacing w:val="2"/>
        </w:rPr>
        <w:t>. Utilizzando questi dati</w:t>
      </w:r>
      <w:r w:rsidR="00D2680D">
        <w:rPr>
          <w:spacing w:val="2"/>
        </w:rPr>
        <w:t>, e diverse altre fonti,</w:t>
      </w:r>
      <w:r w:rsidRPr="006B1563">
        <w:rPr>
          <w:spacing w:val="2"/>
        </w:rPr>
        <w:t xml:space="preserve"> sono state rese disponibili le prime stime di impatto </w:t>
      </w:r>
      <w:r w:rsidR="00283CD2" w:rsidRPr="006B1563">
        <w:rPr>
          <w:spacing w:val="2"/>
        </w:rPr>
        <w:t>sul valore aggiunto del 2020 realizzate utilizzando le tavole input-output dell’economia italiana</w:t>
      </w:r>
      <w:r w:rsidR="00283CD2" w:rsidRPr="006B1563">
        <w:rPr>
          <w:rStyle w:val="Rimandonotaapidipagina"/>
          <w:spacing w:val="2"/>
          <w:szCs w:val="20"/>
        </w:rPr>
        <w:footnoteReference w:id="3"/>
      </w:r>
      <w:r w:rsidR="00283CD2" w:rsidRPr="006B1563">
        <w:rPr>
          <w:spacing w:val="2"/>
        </w:rPr>
        <w:t xml:space="preserve">. </w:t>
      </w:r>
      <w:r w:rsidR="00126D21" w:rsidRPr="006B1563">
        <w:rPr>
          <w:spacing w:val="2"/>
        </w:rPr>
        <w:t>A maggio</w:t>
      </w:r>
      <w:r w:rsidR="00BE1920" w:rsidRPr="006B1563">
        <w:rPr>
          <w:spacing w:val="2"/>
        </w:rPr>
        <w:t>,</w:t>
      </w:r>
      <w:r w:rsidR="00126D21" w:rsidRPr="006B1563">
        <w:rPr>
          <w:spacing w:val="2"/>
        </w:rPr>
        <w:t xml:space="preserve"> è stata avviata un</w:t>
      </w:r>
      <w:r w:rsidR="00BE1920" w:rsidRPr="006B1563">
        <w:rPr>
          <w:spacing w:val="2"/>
        </w:rPr>
        <w:t>’</w:t>
      </w:r>
      <w:r w:rsidR="00126D21" w:rsidRPr="006B1563">
        <w:rPr>
          <w:spacing w:val="2"/>
        </w:rPr>
        <w:t xml:space="preserve">indagine rapida </w:t>
      </w:r>
      <w:r w:rsidR="003757B9" w:rsidRPr="006B1563">
        <w:rPr>
          <w:spacing w:val="2"/>
        </w:rPr>
        <w:t xml:space="preserve">presso le </w:t>
      </w:r>
      <w:r w:rsidR="00126D21" w:rsidRPr="006B1563">
        <w:rPr>
          <w:spacing w:val="2"/>
        </w:rPr>
        <w:t xml:space="preserve">imprese per </w:t>
      </w:r>
      <w:r w:rsidR="003757B9" w:rsidRPr="006B1563">
        <w:rPr>
          <w:spacing w:val="2"/>
        </w:rPr>
        <w:t xml:space="preserve">valutare </w:t>
      </w:r>
      <w:r w:rsidR="00126D21" w:rsidRPr="006B1563">
        <w:rPr>
          <w:spacing w:val="2"/>
        </w:rPr>
        <w:t>la situazione e le prospettive durante l’</w:t>
      </w:r>
      <w:r w:rsidR="001F63C1" w:rsidRPr="006B1563">
        <w:rPr>
          <w:spacing w:val="2"/>
        </w:rPr>
        <w:t>e</w:t>
      </w:r>
      <w:r w:rsidR="00126D21" w:rsidRPr="006B1563">
        <w:rPr>
          <w:spacing w:val="2"/>
        </w:rPr>
        <w:t xml:space="preserve">mergenza COVID-19 i cui risultati verranno diffusi a metà giugno. </w:t>
      </w:r>
      <w:r w:rsidR="00455263" w:rsidRPr="006B1563">
        <w:rPr>
          <w:spacing w:val="2"/>
        </w:rPr>
        <w:t>Q</w:t>
      </w:r>
      <w:r w:rsidR="00283CD2" w:rsidRPr="006B1563">
        <w:rPr>
          <w:spacing w:val="2"/>
        </w:rPr>
        <w:t xml:space="preserve">ueste prime analisi </w:t>
      </w:r>
      <w:r w:rsidR="00455263" w:rsidRPr="006B1563">
        <w:rPr>
          <w:spacing w:val="2"/>
        </w:rPr>
        <w:t xml:space="preserve">hanno integrato gli aggiornamenti degli indicatori correnti, </w:t>
      </w:r>
      <w:r w:rsidR="00D2680D">
        <w:rPr>
          <w:spacing w:val="2"/>
        </w:rPr>
        <w:t>sintetizzati dalla contabilità nazionale trimestral</w:t>
      </w:r>
      <w:r w:rsidR="00144886">
        <w:rPr>
          <w:spacing w:val="2"/>
        </w:rPr>
        <w:t>e</w:t>
      </w:r>
      <w:r w:rsidR="00D2680D">
        <w:rPr>
          <w:spacing w:val="2"/>
        </w:rPr>
        <w:t xml:space="preserve">, </w:t>
      </w:r>
      <w:r w:rsidR="00283CD2" w:rsidRPr="006B1563">
        <w:rPr>
          <w:spacing w:val="2"/>
        </w:rPr>
        <w:t xml:space="preserve">che ha quantificato </w:t>
      </w:r>
      <w:r w:rsidR="00D2680D">
        <w:rPr>
          <w:spacing w:val="2"/>
        </w:rPr>
        <w:t>l</w:t>
      </w:r>
      <w:r w:rsidR="00455263" w:rsidRPr="006B1563">
        <w:rPr>
          <w:spacing w:val="2"/>
        </w:rPr>
        <w:t>a</w:t>
      </w:r>
      <w:r w:rsidR="00283CD2" w:rsidRPr="006B1563">
        <w:rPr>
          <w:spacing w:val="2"/>
        </w:rPr>
        <w:t xml:space="preserve"> caduta eccezionale del Pil italiano nel primo trimestre</w:t>
      </w:r>
      <w:r w:rsidRPr="006B1563">
        <w:rPr>
          <w:spacing w:val="2"/>
        </w:rPr>
        <w:t xml:space="preserve"> </w:t>
      </w:r>
      <w:r w:rsidR="00283CD2" w:rsidRPr="006B1563">
        <w:rPr>
          <w:spacing w:val="2"/>
        </w:rPr>
        <w:t>(-5,3% rispetto al trimestre precedente</w:t>
      </w:r>
      <w:r w:rsidR="00B862B2" w:rsidRPr="006B1563">
        <w:rPr>
          <w:spacing w:val="2"/>
        </w:rPr>
        <w:t>)</w:t>
      </w:r>
      <w:r w:rsidR="00283CD2" w:rsidRPr="006B1563">
        <w:rPr>
          <w:spacing w:val="2"/>
        </w:rPr>
        <w:t>.</w:t>
      </w:r>
    </w:p>
    <w:p w14:paraId="13B089D9" w14:textId="1F794D9A" w:rsidR="00912EA8" w:rsidRPr="006B1563" w:rsidRDefault="0094038A" w:rsidP="00E95E23">
      <w:pPr>
        <w:pStyle w:val="015elencoquadretto"/>
        <w:spacing w:after="100"/>
        <w:ind w:left="1814"/>
        <w:rPr>
          <w:szCs w:val="20"/>
        </w:rPr>
      </w:pPr>
      <w:r>
        <w:rPr>
          <w:spacing w:val="-4"/>
          <w:szCs w:val="20"/>
        </w:rPr>
        <w:t xml:space="preserve"> </w:t>
      </w:r>
      <w:r w:rsidR="00BE1920" w:rsidRPr="006B1563">
        <w:rPr>
          <w:szCs w:val="20"/>
        </w:rPr>
        <w:t>I</w:t>
      </w:r>
      <w:r w:rsidRPr="006B1563">
        <w:rPr>
          <w:szCs w:val="20"/>
        </w:rPr>
        <w:t>n questo contesto</w:t>
      </w:r>
      <w:r w:rsidR="00B862B2" w:rsidRPr="006B1563">
        <w:rPr>
          <w:szCs w:val="20"/>
        </w:rPr>
        <w:t>, caratterizzato anche dalla</w:t>
      </w:r>
      <w:r w:rsidR="00325C8D" w:rsidRPr="006B1563">
        <w:rPr>
          <w:szCs w:val="20"/>
        </w:rPr>
        <w:t xml:space="preserve"> presenza di</w:t>
      </w:r>
      <w:r w:rsidRPr="006B1563">
        <w:rPr>
          <w:szCs w:val="20"/>
        </w:rPr>
        <w:t xml:space="preserve"> significative revisioni degli indicatori economici tradizionali,</w:t>
      </w:r>
      <w:r w:rsidR="004A0E8A" w:rsidRPr="006B1563">
        <w:rPr>
          <w:szCs w:val="20"/>
        </w:rPr>
        <w:t xml:space="preserve"> </w:t>
      </w:r>
      <w:r w:rsidR="00CA19A0" w:rsidRPr="006B1563">
        <w:rPr>
          <w:szCs w:val="20"/>
        </w:rPr>
        <w:t xml:space="preserve">quantificare l’impatto dello shock senza precedenti che </w:t>
      </w:r>
      <w:r w:rsidR="00D2680D">
        <w:rPr>
          <w:szCs w:val="20"/>
        </w:rPr>
        <w:t xml:space="preserve">sta </w:t>
      </w:r>
      <w:r w:rsidR="00CA19A0" w:rsidRPr="006B1563">
        <w:rPr>
          <w:szCs w:val="20"/>
        </w:rPr>
        <w:t>investe</w:t>
      </w:r>
      <w:r w:rsidR="00D2680D">
        <w:rPr>
          <w:szCs w:val="20"/>
        </w:rPr>
        <w:t>ndo</w:t>
      </w:r>
      <w:r w:rsidR="00CA19A0" w:rsidRPr="006B1563">
        <w:rPr>
          <w:szCs w:val="20"/>
        </w:rPr>
        <w:t xml:space="preserve"> l’economia italiana </w:t>
      </w:r>
      <w:r w:rsidR="004A0E8A" w:rsidRPr="006B1563">
        <w:rPr>
          <w:szCs w:val="20"/>
        </w:rPr>
        <w:t xml:space="preserve">è </w:t>
      </w:r>
      <w:r w:rsidRPr="006B1563">
        <w:rPr>
          <w:szCs w:val="20"/>
        </w:rPr>
        <w:t xml:space="preserve">un esercizio </w:t>
      </w:r>
      <w:r w:rsidR="00A72730" w:rsidRPr="006B1563">
        <w:rPr>
          <w:szCs w:val="20"/>
        </w:rPr>
        <w:t xml:space="preserve">connotato da </w:t>
      </w:r>
      <w:r w:rsidR="00D2680D">
        <w:rPr>
          <w:szCs w:val="20"/>
        </w:rPr>
        <w:t>ampi</w:t>
      </w:r>
      <w:r w:rsidR="00A72730" w:rsidRPr="006B1563">
        <w:rPr>
          <w:szCs w:val="20"/>
        </w:rPr>
        <w:t xml:space="preserve"> livelli di incertezza rispetto al passato</w:t>
      </w:r>
      <w:r w:rsidR="00455263" w:rsidRPr="006B1563">
        <w:rPr>
          <w:szCs w:val="20"/>
        </w:rPr>
        <w:t>,</w:t>
      </w:r>
      <w:r w:rsidR="00A72730" w:rsidRPr="006B1563">
        <w:rPr>
          <w:szCs w:val="20"/>
        </w:rPr>
        <w:t xml:space="preserve"> </w:t>
      </w:r>
      <w:r w:rsidR="00730161" w:rsidRPr="006B1563">
        <w:rPr>
          <w:szCs w:val="20"/>
        </w:rPr>
        <w:t>q</w:t>
      </w:r>
      <w:r w:rsidR="002917D0" w:rsidRPr="006B1563">
        <w:rPr>
          <w:szCs w:val="20"/>
        </w:rPr>
        <w:t>uan</w:t>
      </w:r>
      <w:r w:rsidR="00455263" w:rsidRPr="006B1563">
        <w:rPr>
          <w:szCs w:val="20"/>
        </w:rPr>
        <w:t>d</w:t>
      </w:r>
      <w:r w:rsidR="002917D0" w:rsidRPr="006B1563">
        <w:rPr>
          <w:szCs w:val="20"/>
        </w:rPr>
        <w:t xml:space="preserve">o </w:t>
      </w:r>
      <w:r w:rsidR="00636E44" w:rsidRPr="006B1563">
        <w:rPr>
          <w:szCs w:val="20"/>
        </w:rPr>
        <w:t xml:space="preserve">la persistenza </w:t>
      </w:r>
      <w:r w:rsidR="00455263" w:rsidRPr="006B1563">
        <w:rPr>
          <w:szCs w:val="20"/>
        </w:rPr>
        <w:t xml:space="preserve">e la regolarità </w:t>
      </w:r>
      <w:r w:rsidR="00636E44" w:rsidRPr="006B1563">
        <w:rPr>
          <w:szCs w:val="20"/>
        </w:rPr>
        <w:t xml:space="preserve">dei fenomeni rappresentava </w:t>
      </w:r>
      <w:r w:rsidR="00A72730" w:rsidRPr="006B1563">
        <w:rPr>
          <w:szCs w:val="20"/>
        </w:rPr>
        <w:t>una solida base per il calcolo delle previsioni</w:t>
      </w:r>
      <w:r w:rsidR="00730161" w:rsidRPr="006B1563">
        <w:rPr>
          <w:szCs w:val="20"/>
        </w:rPr>
        <w:t xml:space="preserve">. </w:t>
      </w:r>
      <w:r w:rsidR="00325C8D" w:rsidRPr="006B1563">
        <w:rPr>
          <w:szCs w:val="20"/>
        </w:rPr>
        <w:t xml:space="preserve">Il quadro previsivo </w:t>
      </w:r>
      <w:r w:rsidR="00455263" w:rsidRPr="006B1563">
        <w:rPr>
          <w:szCs w:val="20"/>
        </w:rPr>
        <w:t>presentato</w:t>
      </w:r>
      <w:r w:rsidR="00325C8D" w:rsidRPr="006B1563">
        <w:rPr>
          <w:szCs w:val="20"/>
        </w:rPr>
        <w:t xml:space="preserve"> va quindi interpretato come una prima sintesi de</w:t>
      </w:r>
      <w:r w:rsidR="00455263" w:rsidRPr="006B1563">
        <w:rPr>
          <w:szCs w:val="20"/>
        </w:rPr>
        <w:t>i risultati delle</w:t>
      </w:r>
      <w:r w:rsidR="00325C8D" w:rsidRPr="006B1563">
        <w:rPr>
          <w:szCs w:val="20"/>
        </w:rPr>
        <w:t xml:space="preserve"> attività </w:t>
      </w:r>
      <w:r w:rsidR="00455263" w:rsidRPr="006B1563">
        <w:rPr>
          <w:szCs w:val="20"/>
        </w:rPr>
        <w:t xml:space="preserve">di utilizzo e interpretazione del complesso delle fonti informative disponibili </w:t>
      </w:r>
      <w:r w:rsidR="00325C8D" w:rsidRPr="006B1563">
        <w:rPr>
          <w:szCs w:val="20"/>
        </w:rPr>
        <w:t>e di</w:t>
      </w:r>
      <w:r w:rsidR="00305390" w:rsidRPr="006B1563">
        <w:rPr>
          <w:szCs w:val="20"/>
        </w:rPr>
        <w:t xml:space="preserve"> </w:t>
      </w:r>
      <w:r w:rsidR="00325C8D" w:rsidRPr="006B1563">
        <w:rPr>
          <w:szCs w:val="20"/>
        </w:rPr>
        <w:t>adeg</w:t>
      </w:r>
      <w:r w:rsidR="00B862B2" w:rsidRPr="006B1563">
        <w:rPr>
          <w:szCs w:val="20"/>
        </w:rPr>
        <w:t xml:space="preserve">uamento dei modelli </w:t>
      </w:r>
      <w:r w:rsidR="00305390" w:rsidRPr="006B1563">
        <w:rPr>
          <w:szCs w:val="20"/>
        </w:rPr>
        <w:t>previsivi,</w:t>
      </w:r>
      <w:r w:rsidR="00BE1920" w:rsidRPr="006B1563">
        <w:rPr>
          <w:szCs w:val="20"/>
        </w:rPr>
        <w:t xml:space="preserve"> </w:t>
      </w:r>
      <w:r w:rsidR="00B862B2" w:rsidRPr="006B1563">
        <w:rPr>
          <w:szCs w:val="20"/>
        </w:rPr>
        <w:t xml:space="preserve">e come tale destinato a </w:t>
      </w:r>
      <w:r w:rsidR="00D2680D">
        <w:rPr>
          <w:szCs w:val="20"/>
        </w:rPr>
        <w:t xml:space="preserve">possibili </w:t>
      </w:r>
      <w:r w:rsidR="00B862B2" w:rsidRPr="006B1563">
        <w:rPr>
          <w:szCs w:val="20"/>
        </w:rPr>
        <w:t>revis</w:t>
      </w:r>
      <w:r w:rsidR="008269DC" w:rsidRPr="006B1563">
        <w:rPr>
          <w:szCs w:val="20"/>
        </w:rPr>
        <w:t>ioni nei prossimi mesi</w:t>
      </w:r>
      <w:r w:rsidR="00730161" w:rsidRPr="006B1563">
        <w:rPr>
          <w:szCs w:val="20"/>
        </w:rPr>
        <w:t>,</w:t>
      </w:r>
      <w:r w:rsidR="008269DC" w:rsidRPr="006B1563">
        <w:rPr>
          <w:szCs w:val="20"/>
        </w:rPr>
        <w:t xml:space="preserve"> congiuntamente all’arricchimento dell’informazione congiunturale disponibile</w:t>
      </w:r>
      <w:r w:rsidR="00B862B2" w:rsidRPr="006B1563">
        <w:rPr>
          <w:szCs w:val="20"/>
        </w:rPr>
        <w:t>.</w:t>
      </w:r>
    </w:p>
    <w:p w14:paraId="76A4FBA8" w14:textId="3952B741" w:rsidR="00325C8D" w:rsidRPr="00CC29C2" w:rsidRDefault="008172F4" w:rsidP="00325C8D">
      <w:pPr>
        <w:pStyle w:val="015elencoquadretto"/>
        <w:spacing w:after="100"/>
        <w:ind w:left="1814"/>
      </w:pPr>
      <w:r>
        <w:rPr>
          <w:szCs w:val="20"/>
        </w:rPr>
        <w:t xml:space="preserve"> </w:t>
      </w:r>
      <w:r w:rsidR="00B862B2">
        <w:rPr>
          <w:szCs w:val="20"/>
        </w:rPr>
        <w:t xml:space="preserve">Le previsioni presentate sono </w:t>
      </w:r>
      <w:r w:rsidR="000C4CEE">
        <w:rPr>
          <w:szCs w:val="20"/>
        </w:rPr>
        <w:t>basate su</w:t>
      </w:r>
      <w:r w:rsidR="00B862B2">
        <w:rPr>
          <w:szCs w:val="20"/>
        </w:rPr>
        <w:t xml:space="preserve"> ipotesi che riguardano prevalentemente l’ampiezza della caduta della produzione nel secondo trimestre</w:t>
      </w:r>
      <w:r w:rsidR="00D2680D">
        <w:rPr>
          <w:szCs w:val="20"/>
        </w:rPr>
        <w:t xml:space="preserve"> del 2020</w:t>
      </w:r>
      <w:r w:rsidR="00B862B2">
        <w:rPr>
          <w:szCs w:val="20"/>
        </w:rPr>
        <w:t xml:space="preserve">, più </w:t>
      </w:r>
      <w:r w:rsidR="008269DC">
        <w:rPr>
          <w:szCs w:val="20"/>
        </w:rPr>
        <w:t>marcata</w:t>
      </w:r>
      <w:r w:rsidR="00B862B2">
        <w:rPr>
          <w:szCs w:val="20"/>
        </w:rPr>
        <w:t xml:space="preserve"> di quella del primo, e la velocità della ripresa dei ritmi produttivi nel terzo e quarto trimestre. Ulteriori assunzioni riguardano l’assenza di una </w:t>
      </w:r>
      <w:r w:rsidR="000C4CEE">
        <w:rPr>
          <w:szCs w:val="20"/>
        </w:rPr>
        <w:t xml:space="preserve">significativa </w:t>
      </w:r>
      <w:r w:rsidR="00B862B2">
        <w:rPr>
          <w:szCs w:val="20"/>
        </w:rPr>
        <w:t xml:space="preserve">ripresa dei contagi nella seconda parte dell’anno, </w:t>
      </w:r>
      <w:r w:rsidR="000C4CEE">
        <w:rPr>
          <w:szCs w:val="20"/>
        </w:rPr>
        <w:t>l’efficacia</w:t>
      </w:r>
      <w:r w:rsidR="00B862B2">
        <w:rPr>
          <w:szCs w:val="20"/>
        </w:rPr>
        <w:t xml:space="preserve"> delle misure </w:t>
      </w:r>
      <w:r w:rsidR="000C4CEE">
        <w:rPr>
          <w:szCs w:val="20"/>
        </w:rPr>
        <w:t xml:space="preserve">di sostegno ai redditi e gli impegni di spesa </w:t>
      </w:r>
      <w:r w:rsidR="00B862B2">
        <w:rPr>
          <w:szCs w:val="20"/>
        </w:rPr>
        <w:t>previst</w:t>
      </w:r>
      <w:r w:rsidR="000C4CEE">
        <w:rPr>
          <w:szCs w:val="20"/>
        </w:rPr>
        <w:t>i</w:t>
      </w:r>
      <w:r w:rsidR="00B862B2">
        <w:rPr>
          <w:szCs w:val="20"/>
        </w:rPr>
        <w:t xml:space="preserve"> nei recenti decreti </w:t>
      </w:r>
      <w:r w:rsidR="008269DC">
        <w:rPr>
          <w:szCs w:val="20"/>
        </w:rPr>
        <w:t>e</w:t>
      </w:r>
      <w:r w:rsidR="000C4CEE">
        <w:rPr>
          <w:szCs w:val="20"/>
        </w:rPr>
        <w:t>,</w:t>
      </w:r>
      <w:r w:rsidR="008269DC">
        <w:rPr>
          <w:szCs w:val="20"/>
        </w:rPr>
        <w:t xml:space="preserve"> infine</w:t>
      </w:r>
      <w:r w:rsidR="00D473C5">
        <w:rPr>
          <w:szCs w:val="20"/>
        </w:rPr>
        <w:t>,</w:t>
      </w:r>
      <w:r w:rsidR="00B862B2">
        <w:rPr>
          <w:szCs w:val="20"/>
        </w:rPr>
        <w:t xml:space="preserve"> </w:t>
      </w:r>
      <w:r w:rsidR="00D473C5">
        <w:rPr>
          <w:szCs w:val="20"/>
        </w:rPr>
        <w:t>il proseguimento</w:t>
      </w:r>
      <w:r w:rsidR="000C4CEE">
        <w:rPr>
          <w:szCs w:val="20"/>
        </w:rPr>
        <w:t xml:space="preserve"> </w:t>
      </w:r>
      <w:r w:rsidR="00B862B2">
        <w:rPr>
          <w:szCs w:val="20"/>
        </w:rPr>
        <w:t xml:space="preserve">di una politica monetaria </w:t>
      </w:r>
      <w:r w:rsidR="000C4CEE">
        <w:rPr>
          <w:szCs w:val="20"/>
        </w:rPr>
        <w:t>accomodante che stabilizzi i</w:t>
      </w:r>
      <w:r w:rsidR="00D473C5">
        <w:rPr>
          <w:szCs w:val="20"/>
        </w:rPr>
        <w:t xml:space="preserve"> </w:t>
      </w:r>
      <w:r w:rsidR="00B862B2">
        <w:rPr>
          <w:szCs w:val="20"/>
        </w:rPr>
        <w:t xml:space="preserve">mercati finanziari </w:t>
      </w:r>
      <w:r w:rsidR="00D473C5">
        <w:rPr>
          <w:szCs w:val="20"/>
        </w:rPr>
        <w:t>garantendo il normale funzionamento del sistema del credito.</w:t>
      </w:r>
      <w:r w:rsidR="00B862B2">
        <w:rPr>
          <w:szCs w:val="20"/>
        </w:rPr>
        <w:t xml:space="preserve"> </w:t>
      </w:r>
    </w:p>
    <w:p w14:paraId="32575438" w14:textId="305EAB4A" w:rsidR="003C6225" w:rsidRPr="006B1563" w:rsidRDefault="00CE3407" w:rsidP="003C6225">
      <w:pPr>
        <w:pStyle w:val="015elencoquadretto"/>
        <w:spacing w:after="100"/>
        <w:ind w:left="1814"/>
        <w:rPr>
          <w:spacing w:val="2"/>
        </w:rPr>
      </w:pPr>
      <w:r w:rsidRPr="006B1563">
        <w:rPr>
          <w:spacing w:val="2"/>
        </w:rPr>
        <w:t xml:space="preserve">In base a </w:t>
      </w:r>
      <w:r w:rsidR="00B862B2" w:rsidRPr="006B1563">
        <w:rPr>
          <w:spacing w:val="2"/>
        </w:rPr>
        <w:t>queste ipotesi si prevede una marcata contrazione del Pil nel 2020 (-8,</w:t>
      </w:r>
      <w:r w:rsidR="005A7E0D" w:rsidRPr="006B1563">
        <w:rPr>
          <w:spacing w:val="2"/>
        </w:rPr>
        <w:t>3</w:t>
      </w:r>
      <w:r w:rsidR="00B862B2" w:rsidRPr="006B1563">
        <w:rPr>
          <w:spacing w:val="2"/>
        </w:rPr>
        <w:t xml:space="preserve">%) e una ripresa </w:t>
      </w:r>
      <w:r w:rsidR="00B13B26" w:rsidRPr="006B1563">
        <w:rPr>
          <w:spacing w:val="2"/>
        </w:rPr>
        <w:t xml:space="preserve">parziale </w:t>
      </w:r>
      <w:r w:rsidR="00B862B2" w:rsidRPr="006B1563">
        <w:rPr>
          <w:spacing w:val="2"/>
        </w:rPr>
        <w:t>nel 2021 (+4,</w:t>
      </w:r>
      <w:r w:rsidR="005A7E0D" w:rsidRPr="006B1563">
        <w:rPr>
          <w:spacing w:val="2"/>
        </w:rPr>
        <w:t>6</w:t>
      </w:r>
      <w:r w:rsidR="00B862B2" w:rsidRPr="006B1563">
        <w:rPr>
          <w:spacing w:val="2"/>
        </w:rPr>
        <w:t>%</w:t>
      </w:r>
      <w:r w:rsidR="0090180B" w:rsidRPr="006B1563">
        <w:rPr>
          <w:spacing w:val="2"/>
        </w:rPr>
        <w:t>, Prospetto 1</w:t>
      </w:r>
      <w:r w:rsidR="00B862B2" w:rsidRPr="006B1563">
        <w:rPr>
          <w:spacing w:val="2"/>
        </w:rPr>
        <w:t xml:space="preserve">). </w:t>
      </w:r>
      <w:r w:rsidR="005A7E0D" w:rsidRPr="006B1563">
        <w:rPr>
          <w:spacing w:val="2"/>
        </w:rPr>
        <w:t>Nell’anno corrente l</w:t>
      </w:r>
      <w:r w:rsidR="0090180B" w:rsidRPr="006B1563">
        <w:rPr>
          <w:spacing w:val="2"/>
        </w:rPr>
        <w:t>a caduta del Pil sarà determinata prevalentemente dalla domanda interna al netto delle scorte (-7,2 punti percentuali) condizionata dalla caduta dei consumi delle famiglie e delle ISP (-8,</w:t>
      </w:r>
      <w:r w:rsidR="005A7E0D" w:rsidRPr="006B1563">
        <w:rPr>
          <w:spacing w:val="2"/>
        </w:rPr>
        <w:t>7</w:t>
      </w:r>
      <w:r w:rsidR="0090180B" w:rsidRPr="006B1563">
        <w:rPr>
          <w:spacing w:val="2"/>
        </w:rPr>
        <w:t>%) e dal crollo degli investimenti (-12,</w:t>
      </w:r>
      <w:r w:rsidR="005A7E0D" w:rsidRPr="006B1563">
        <w:rPr>
          <w:spacing w:val="2"/>
        </w:rPr>
        <w:t>5</w:t>
      </w:r>
      <w:r w:rsidR="0090180B" w:rsidRPr="006B1563">
        <w:rPr>
          <w:spacing w:val="2"/>
        </w:rPr>
        <w:t>%)</w:t>
      </w:r>
      <w:r w:rsidR="00B13B26" w:rsidRPr="006B1563">
        <w:rPr>
          <w:spacing w:val="2"/>
        </w:rPr>
        <w:t>, a fronte di una crescita dell’1,6% della spesa delle Amministrazioni pubbliche</w:t>
      </w:r>
      <w:r w:rsidR="0090180B" w:rsidRPr="006B1563">
        <w:rPr>
          <w:spacing w:val="2"/>
        </w:rPr>
        <w:t>. Anche la domanda estera netta e la variazione delle scorte sono attese fornire un contributo negativo alla crescita (rispettivamente -0,</w:t>
      </w:r>
      <w:r w:rsidR="005A7E0D" w:rsidRPr="006B1563">
        <w:rPr>
          <w:spacing w:val="2"/>
        </w:rPr>
        <w:t>3</w:t>
      </w:r>
      <w:r w:rsidR="003757B9" w:rsidRPr="006B1563">
        <w:rPr>
          <w:spacing w:val="2"/>
        </w:rPr>
        <w:t xml:space="preserve"> p.p.</w:t>
      </w:r>
      <w:r w:rsidR="005A7E0D" w:rsidRPr="006B1563">
        <w:rPr>
          <w:spacing w:val="2"/>
        </w:rPr>
        <w:t xml:space="preserve"> </w:t>
      </w:r>
      <w:r w:rsidR="0090180B" w:rsidRPr="006B1563">
        <w:rPr>
          <w:spacing w:val="2"/>
        </w:rPr>
        <w:t>e -0,</w:t>
      </w:r>
      <w:r w:rsidR="00DA29F8" w:rsidRPr="006B1563">
        <w:rPr>
          <w:spacing w:val="2"/>
        </w:rPr>
        <w:t>8</w:t>
      </w:r>
      <w:r w:rsidR="003757B9" w:rsidRPr="006B1563">
        <w:rPr>
          <w:spacing w:val="2"/>
        </w:rPr>
        <w:t xml:space="preserve"> p.p.</w:t>
      </w:r>
      <w:r w:rsidR="0090180B" w:rsidRPr="006B1563">
        <w:rPr>
          <w:spacing w:val="2"/>
        </w:rPr>
        <w:t>). L’evoluzione dell’occupazione, misurata in termini di ULA, è prevista evolversi in linea con il Pil</w:t>
      </w:r>
      <w:r w:rsidR="00B13B26" w:rsidRPr="006B1563">
        <w:rPr>
          <w:spacing w:val="2"/>
        </w:rPr>
        <w:t>,</w:t>
      </w:r>
      <w:r w:rsidR="0090180B" w:rsidRPr="006B1563">
        <w:rPr>
          <w:spacing w:val="2"/>
        </w:rPr>
        <w:t xml:space="preserve"> con una brusca riduzione nel 2020 (-9,</w:t>
      </w:r>
      <w:r w:rsidR="005A7E0D" w:rsidRPr="006B1563">
        <w:rPr>
          <w:spacing w:val="2"/>
        </w:rPr>
        <w:t>3</w:t>
      </w:r>
      <w:r w:rsidR="0090180B" w:rsidRPr="006B1563">
        <w:rPr>
          <w:spacing w:val="2"/>
        </w:rPr>
        <w:t xml:space="preserve">%) e una ripresa nel 2021 (+4,1%). Diversa </w:t>
      </w:r>
      <w:r w:rsidR="00B13B26" w:rsidRPr="006B1563">
        <w:rPr>
          <w:spacing w:val="2"/>
        </w:rPr>
        <w:t xml:space="preserve">appare </w:t>
      </w:r>
      <w:r w:rsidR="0090180B" w:rsidRPr="006B1563">
        <w:rPr>
          <w:spacing w:val="2"/>
        </w:rPr>
        <w:t xml:space="preserve">la lettura della crisi del mercato del lavoro attraverso il tasso di disoccupazione, il cui andamento </w:t>
      </w:r>
      <w:r w:rsidR="0090180B" w:rsidRPr="006B1563">
        <w:rPr>
          <w:spacing w:val="2"/>
        </w:rPr>
        <w:lastRenderedPageBreak/>
        <w:t xml:space="preserve">rifletterebbe anche la decisa ricomposizione tra disoccupati e inattivi e la riduzione del numero di ore lavorate. L’andamento del deflatore </w:t>
      </w:r>
      <w:r w:rsidR="000F3FF3">
        <w:rPr>
          <w:spacing w:val="2"/>
        </w:rPr>
        <w:t>della spesa</w:t>
      </w:r>
      <w:r w:rsidR="00B13B26" w:rsidRPr="006B1563">
        <w:rPr>
          <w:spacing w:val="2"/>
        </w:rPr>
        <w:t xml:space="preserve"> de</w:t>
      </w:r>
      <w:r w:rsidR="0090180B" w:rsidRPr="006B1563">
        <w:rPr>
          <w:spacing w:val="2"/>
        </w:rPr>
        <w:t>lle famiglie manterrebbe una intonazione negativa nel</w:t>
      </w:r>
      <w:r w:rsidR="003757B9" w:rsidRPr="006B1563">
        <w:rPr>
          <w:spacing w:val="2"/>
        </w:rPr>
        <w:t>l’</w:t>
      </w:r>
      <w:r w:rsidR="008269DC" w:rsidRPr="006B1563">
        <w:rPr>
          <w:spacing w:val="2"/>
        </w:rPr>
        <w:t>anno corrente (-0,</w:t>
      </w:r>
      <w:r w:rsidR="005A7E0D" w:rsidRPr="006B1563">
        <w:rPr>
          <w:spacing w:val="2"/>
        </w:rPr>
        <w:t>3</w:t>
      </w:r>
      <w:r w:rsidR="008269DC" w:rsidRPr="006B1563">
        <w:rPr>
          <w:spacing w:val="2"/>
        </w:rPr>
        <w:t>%) per poi mostrare modesti segnali di ripresa nell’anno successivo (+0,</w:t>
      </w:r>
      <w:r w:rsidR="005A7E0D" w:rsidRPr="006B1563">
        <w:rPr>
          <w:spacing w:val="2"/>
        </w:rPr>
        <w:t>7</w:t>
      </w:r>
      <w:r w:rsidR="008269DC" w:rsidRPr="006B1563">
        <w:rPr>
          <w:spacing w:val="2"/>
        </w:rPr>
        <w:t>%).</w:t>
      </w:r>
    </w:p>
    <w:p w14:paraId="6008BB33" w14:textId="77777777" w:rsidR="00B862B2" w:rsidRDefault="00B862B2" w:rsidP="00BA5651">
      <w:pPr>
        <w:pStyle w:val="015elencoquadretto"/>
        <w:numPr>
          <w:ilvl w:val="0"/>
          <w:numId w:val="0"/>
        </w:numPr>
        <w:spacing w:after="0"/>
        <w:ind w:left="1814"/>
        <w:rPr>
          <w:spacing w:val="-3"/>
          <w:szCs w:val="20"/>
        </w:rPr>
      </w:pPr>
    </w:p>
    <w:p w14:paraId="4A027190" w14:textId="77777777" w:rsidR="00460E56" w:rsidRPr="005903EC" w:rsidRDefault="00460E56" w:rsidP="00460E56">
      <w:pPr>
        <w:pStyle w:val="051tabella-figuratitolo"/>
        <w:rPr>
          <w:caps/>
        </w:rPr>
      </w:pPr>
      <w:r w:rsidRPr="00A60160">
        <w:rPr>
          <w:caps/>
        </w:rPr>
        <w:t>Prospetto 1. Previsioni per l’economia italiana – Pil e principali componenti</w:t>
      </w:r>
      <w:r w:rsidRPr="005903EC">
        <w:rPr>
          <w:caps/>
        </w:rPr>
        <w:t xml:space="preserve"> </w:t>
      </w:r>
    </w:p>
    <w:p w14:paraId="5ACB7994" w14:textId="2495242E" w:rsidR="00460E56" w:rsidRPr="00632447" w:rsidRDefault="00460E56" w:rsidP="00460E56">
      <w:pPr>
        <w:pStyle w:val="052tabella-figurasottotitolo"/>
      </w:pPr>
      <w:r w:rsidRPr="00632447">
        <w:t>Anni 201</w:t>
      </w:r>
      <w:r w:rsidR="00756F43">
        <w:t>8</w:t>
      </w:r>
      <w:r w:rsidRPr="00632447">
        <w:t>-20</w:t>
      </w:r>
      <w:r w:rsidR="007543A9">
        <w:t>2</w:t>
      </w:r>
      <w:r w:rsidR="00756F43">
        <w:t>1</w:t>
      </w:r>
      <w:r w:rsidRPr="00632447">
        <w:t>, valori concatenati per le componenti di domanda; variazioni percentuali sull’anno precedente</w:t>
      </w:r>
      <w:r w:rsidR="00DA29F8">
        <w:t xml:space="preserve"> e punti percentuali </w:t>
      </w:r>
    </w:p>
    <w:tbl>
      <w:tblPr>
        <w:tblW w:w="8505" w:type="dxa"/>
        <w:tblInd w:w="1871" w:type="dxa"/>
        <w:tblLayout w:type="fixed"/>
        <w:tblCellMar>
          <w:left w:w="70" w:type="dxa"/>
          <w:right w:w="70" w:type="dxa"/>
        </w:tblCellMar>
        <w:tblLook w:val="04A0" w:firstRow="1" w:lastRow="0" w:firstColumn="1" w:lastColumn="0" w:noHBand="0" w:noVBand="1"/>
      </w:tblPr>
      <w:tblGrid>
        <w:gridCol w:w="5101"/>
        <w:gridCol w:w="851"/>
        <w:gridCol w:w="851"/>
        <w:gridCol w:w="851"/>
        <w:gridCol w:w="851"/>
      </w:tblGrid>
      <w:tr w:rsidR="00756F43" w:rsidRPr="00345961" w14:paraId="429765B4" w14:textId="77777777" w:rsidTr="00F30A12">
        <w:trPr>
          <w:trHeight w:val="227"/>
        </w:trPr>
        <w:tc>
          <w:tcPr>
            <w:tcW w:w="5101" w:type="dxa"/>
            <w:tcBorders>
              <w:top w:val="single" w:sz="6" w:space="0" w:color="auto"/>
              <w:left w:val="nil"/>
              <w:bottom w:val="single" w:sz="6" w:space="0" w:color="auto"/>
              <w:right w:val="nil"/>
            </w:tcBorders>
            <w:noWrap/>
            <w:vAlign w:val="bottom"/>
          </w:tcPr>
          <w:p w14:paraId="4B03FB8E" w14:textId="77777777" w:rsidR="00756F43" w:rsidRPr="00ED7ABC" w:rsidRDefault="00756F43" w:rsidP="00756F43">
            <w:pPr>
              <w:pStyle w:val="053tabella-figuratesto"/>
              <w:jc w:val="left"/>
              <w:rPr>
                <w:rFonts w:ascii="Arial" w:hAnsi="Arial" w:cs="Arial"/>
                <w:b/>
                <w:lang w:eastAsia="it-IT"/>
              </w:rPr>
            </w:pPr>
          </w:p>
        </w:tc>
        <w:tc>
          <w:tcPr>
            <w:tcW w:w="851" w:type="dxa"/>
            <w:tcBorders>
              <w:top w:val="single" w:sz="6" w:space="0" w:color="auto"/>
              <w:left w:val="nil"/>
              <w:bottom w:val="single" w:sz="6" w:space="0" w:color="auto"/>
              <w:right w:val="nil"/>
            </w:tcBorders>
            <w:vAlign w:val="bottom"/>
          </w:tcPr>
          <w:p w14:paraId="72D659CA" w14:textId="77777777" w:rsidR="00756F43" w:rsidRPr="00ED7ABC" w:rsidRDefault="00756F43" w:rsidP="00756F43">
            <w:pPr>
              <w:pStyle w:val="053tabella-figuratesto"/>
              <w:jc w:val="center"/>
              <w:rPr>
                <w:rFonts w:cs="Arial"/>
                <w:b/>
                <w:lang w:eastAsia="it-IT"/>
              </w:rPr>
            </w:pPr>
            <w:r w:rsidRPr="00ED7ABC">
              <w:rPr>
                <w:rFonts w:cs="Arial"/>
                <w:b/>
                <w:lang w:eastAsia="it-IT"/>
              </w:rPr>
              <w:t>2018</w:t>
            </w:r>
          </w:p>
        </w:tc>
        <w:tc>
          <w:tcPr>
            <w:tcW w:w="851" w:type="dxa"/>
            <w:tcBorders>
              <w:top w:val="single" w:sz="6" w:space="0" w:color="auto"/>
              <w:left w:val="nil"/>
              <w:bottom w:val="single" w:sz="6" w:space="0" w:color="auto"/>
              <w:right w:val="nil"/>
            </w:tcBorders>
            <w:vAlign w:val="bottom"/>
          </w:tcPr>
          <w:p w14:paraId="243F871B" w14:textId="77777777" w:rsidR="00756F43" w:rsidRPr="00ED7ABC" w:rsidRDefault="00756F43" w:rsidP="00756F43">
            <w:pPr>
              <w:pStyle w:val="053tabella-figuratesto"/>
              <w:jc w:val="center"/>
              <w:rPr>
                <w:rFonts w:cs="Arial"/>
                <w:b/>
                <w:lang w:eastAsia="it-IT"/>
              </w:rPr>
            </w:pPr>
            <w:r w:rsidRPr="00ED7ABC">
              <w:rPr>
                <w:rFonts w:cs="Arial"/>
                <w:b/>
                <w:lang w:eastAsia="it-IT"/>
              </w:rPr>
              <w:t>2019</w:t>
            </w:r>
          </w:p>
        </w:tc>
        <w:tc>
          <w:tcPr>
            <w:tcW w:w="851" w:type="dxa"/>
            <w:tcBorders>
              <w:top w:val="single" w:sz="6" w:space="0" w:color="auto"/>
              <w:left w:val="nil"/>
              <w:bottom w:val="single" w:sz="6" w:space="0" w:color="auto"/>
              <w:right w:val="nil"/>
            </w:tcBorders>
            <w:shd w:val="clear" w:color="auto" w:fill="D9D9D9"/>
            <w:vAlign w:val="bottom"/>
          </w:tcPr>
          <w:p w14:paraId="342EDFDD" w14:textId="77777777" w:rsidR="00756F43" w:rsidRPr="00ED7ABC" w:rsidRDefault="00756F43" w:rsidP="00756F43">
            <w:pPr>
              <w:pStyle w:val="053tabella-figuratesto"/>
              <w:jc w:val="center"/>
              <w:rPr>
                <w:rFonts w:cs="Arial"/>
                <w:b/>
                <w:lang w:eastAsia="it-IT"/>
              </w:rPr>
            </w:pPr>
            <w:r w:rsidRPr="00ED7ABC">
              <w:rPr>
                <w:rFonts w:cs="Arial"/>
                <w:b/>
                <w:lang w:eastAsia="it-IT"/>
              </w:rPr>
              <w:t>2020</w:t>
            </w:r>
          </w:p>
        </w:tc>
        <w:tc>
          <w:tcPr>
            <w:tcW w:w="851" w:type="dxa"/>
            <w:tcBorders>
              <w:top w:val="single" w:sz="6" w:space="0" w:color="auto"/>
              <w:left w:val="nil"/>
              <w:bottom w:val="single" w:sz="6" w:space="0" w:color="auto"/>
              <w:right w:val="nil"/>
            </w:tcBorders>
            <w:shd w:val="clear" w:color="auto" w:fill="D9D9D9"/>
            <w:noWrap/>
            <w:vAlign w:val="bottom"/>
            <w:hideMark/>
          </w:tcPr>
          <w:p w14:paraId="054EFEF3" w14:textId="77777777" w:rsidR="00756F43" w:rsidRPr="00ED7ABC" w:rsidRDefault="00756F43" w:rsidP="00756F43">
            <w:pPr>
              <w:pStyle w:val="053tabella-figuratesto"/>
              <w:jc w:val="center"/>
              <w:rPr>
                <w:rFonts w:cs="Arial"/>
                <w:b/>
                <w:lang w:eastAsia="it-IT"/>
              </w:rPr>
            </w:pPr>
            <w:r w:rsidRPr="00ED7ABC">
              <w:rPr>
                <w:rFonts w:cs="Arial"/>
                <w:b/>
                <w:lang w:eastAsia="it-IT"/>
              </w:rPr>
              <w:t>2021</w:t>
            </w:r>
          </w:p>
        </w:tc>
      </w:tr>
      <w:tr w:rsidR="00FD66E9" w:rsidRPr="00564CE5" w14:paraId="4D09311A" w14:textId="77777777" w:rsidTr="00F30A12">
        <w:trPr>
          <w:trHeight w:val="227"/>
        </w:trPr>
        <w:tc>
          <w:tcPr>
            <w:tcW w:w="5101" w:type="dxa"/>
            <w:tcBorders>
              <w:top w:val="single" w:sz="6" w:space="0" w:color="auto"/>
              <w:left w:val="nil"/>
              <w:bottom w:val="single" w:sz="2" w:space="0" w:color="auto"/>
              <w:right w:val="nil"/>
            </w:tcBorders>
            <w:noWrap/>
            <w:vAlign w:val="bottom"/>
            <w:hideMark/>
          </w:tcPr>
          <w:p w14:paraId="4525716C" w14:textId="77777777" w:rsidR="00FD66E9" w:rsidRPr="00564CE5" w:rsidRDefault="00FD66E9" w:rsidP="00FD66E9">
            <w:pPr>
              <w:pStyle w:val="053tabella-figuratesto"/>
              <w:jc w:val="left"/>
              <w:rPr>
                <w:lang w:eastAsia="it-IT"/>
              </w:rPr>
            </w:pPr>
            <w:r w:rsidRPr="00564CE5">
              <w:rPr>
                <w:lang w:eastAsia="it-IT"/>
              </w:rPr>
              <w:t>Prodotto interno lordo</w:t>
            </w:r>
          </w:p>
        </w:tc>
        <w:tc>
          <w:tcPr>
            <w:tcW w:w="851" w:type="dxa"/>
            <w:tcBorders>
              <w:top w:val="single" w:sz="6" w:space="0" w:color="auto"/>
              <w:left w:val="nil"/>
              <w:bottom w:val="single" w:sz="2" w:space="0" w:color="auto"/>
              <w:right w:val="nil"/>
            </w:tcBorders>
            <w:noWrap/>
            <w:vAlign w:val="bottom"/>
          </w:tcPr>
          <w:p w14:paraId="487D1D91"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0,8</w:t>
            </w:r>
          </w:p>
        </w:tc>
        <w:tc>
          <w:tcPr>
            <w:tcW w:w="851" w:type="dxa"/>
            <w:tcBorders>
              <w:top w:val="single" w:sz="6" w:space="0" w:color="auto"/>
              <w:left w:val="nil"/>
              <w:bottom w:val="single" w:sz="2" w:space="0" w:color="auto"/>
              <w:right w:val="nil"/>
            </w:tcBorders>
            <w:noWrap/>
            <w:vAlign w:val="bottom"/>
          </w:tcPr>
          <w:p w14:paraId="02E41BA5"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0,3</w:t>
            </w:r>
          </w:p>
        </w:tc>
        <w:tc>
          <w:tcPr>
            <w:tcW w:w="851" w:type="dxa"/>
            <w:tcBorders>
              <w:top w:val="single" w:sz="6" w:space="0" w:color="auto"/>
              <w:left w:val="nil"/>
              <w:bottom w:val="single" w:sz="2" w:space="0" w:color="auto"/>
              <w:right w:val="nil"/>
            </w:tcBorders>
            <w:shd w:val="clear" w:color="auto" w:fill="D9D9D9"/>
            <w:noWrap/>
            <w:vAlign w:val="bottom"/>
          </w:tcPr>
          <w:p w14:paraId="040545DD" w14:textId="77777777" w:rsidR="00FD66E9" w:rsidRPr="00ED7ABC" w:rsidRDefault="00FD66E9" w:rsidP="00E04596">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-8,</w:t>
            </w:r>
            <w:r w:rsidR="00E04596">
              <w:rPr>
                <w:rFonts w:ascii="Arial Narrow" w:hAnsi="Arial Narrow" w:cs="Arial"/>
                <w:color w:val="000000"/>
                <w:sz w:val="18"/>
                <w:szCs w:val="18"/>
              </w:rPr>
              <w:t>3</w:t>
            </w:r>
          </w:p>
        </w:tc>
        <w:tc>
          <w:tcPr>
            <w:tcW w:w="851" w:type="dxa"/>
            <w:tcBorders>
              <w:top w:val="single" w:sz="6" w:space="0" w:color="auto"/>
              <w:left w:val="nil"/>
              <w:bottom w:val="single" w:sz="2" w:space="0" w:color="auto"/>
              <w:right w:val="nil"/>
            </w:tcBorders>
            <w:shd w:val="clear" w:color="auto" w:fill="D9D9D9"/>
            <w:noWrap/>
            <w:vAlign w:val="bottom"/>
          </w:tcPr>
          <w:p w14:paraId="5955D640"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4,6</w:t>
            </w:r>
          </w:p>
        </w:tc>
      </w:tr>
      <w:tr w:rsidR="00FD66E9" w14:paraId="2395A48E" w14:textId="77777777" w:rsidTr="00F30A12">
        <w:trPr>
          <w:trHeight w:val="227"/>
        </w:trPr>
        <w:tc>
          <w:tcPr>
            <w:tcW w:w="5101" w:type="dxa"/>
            <w:tcBorders>
              <w:top w:val="single" w:sz="2" w:space="0" w:color="auto"/>
              <w:left w:val="nil"/>
              <w:bottom w:val="single" w:sz="2" w:space="0" w:color="auto"/>
              <w:right w:val="nil"/>
            </w:tcBorders>
            <w:noWrap/>
            <w:vAlign w:val="bottom"/>
            <w:hideMark/>
          </w:tcPr>
          <w:p w14:paraId="74AD9785" w14:textId="77777777" w:rsidR="00FD66E9" w:rsidRDefault="00FD66E9" w:rsidP="00FD66E9">
            <w:pPr>
              <w:pStyle w:val="053tabella-figuratesto"/>
              <w:jc w:val="left"/>
              <w:rPr>
                <w:lang w:eastAsia="it-IT"/>
              </w:rPr>
            </w:pPr>
            <w:r>
              <w:rPr>
                <w:lang w:eastAsia="it-IT"/>
              </w:rPr>
              <w:t>Importazioni di beni e servizi fob</w:t>
            </w:r>
          </w:p>
        </w:tc>
        <w:tc>
          <w:tcPr>
            <w:tcW w:w="851" w:type="dxa"/>
            <w:tcBorders>
              <w:top w:val="single" w:sz="2" w:space="0" w:color="auto"/>
              <w:left w:val="nil"/>
              <w:bottom w:val="single" w:sz="2" w:space="0" w:color="auto"/>
              <w:right w:val="nil"/>
            </w:tcBorders>
            <w:noWrap/>
            <w:vAlign w:val="bottom"/>
          </w:tcPr>
          <w:p w14:paraId="429ACACB"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3,4</w:t>
            </w:r>
          </w:p>
        </w:tc>
        <w:tc>
          <w:tcPr>
            <w:tcW w:w="851" w:type="dxa"/>
            <w:tcBorders>
              <w:top w:val="single" w:sz="2" w:space="0" w:color="auto"/>
              <w:left w:val="nil"/>
              <w:bottom w:val="single" w:sz="2" w:space="0" w:color="auto"/>
              <w:right w:val="nil"/>
            </w:tcBorders>
            <w:noWrap/>
            <w:vAlign w:val="bottom"/>
          </w:tcPr>
          <w:p w14:paraId="4762A2CA"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-0,4</w:t>
            </w:r>
          </w:p>
        </w:tc>
        <w:tc>
          <w:tcPr>
            <w:tcW w:w="851" w:type="dxa"/>
            <w:tcBorders>
              <w:top w:val="single" w:sz="2" w:space="0" w:color="auto"/>
              <w:left w:val="nil"/>
              <w:bottom w:val="single" w:sz="2" w:space="0" w:color="auto"/>
              <w:right w:val="nil"/>
            </w:tcBorders>
            <w:shd w:val="clear" w:color="auto" w:fill="D9D9D9"/>
            <w:noWrap/>
            <w:vAlign w:val="bottom"/>
          </w:tcPr>
          <w:p w14:paraId="2E0BFF71" w14:textId="77777777" w:rsidR="00FD66E9" w:rsidRPr="00ED7ABC" w:rsidRDefault="00FD66E9" w:rsidP="00E04596">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-14</w:t>
            </w:r>
            <w:r w:rsidR="00FD045D">
              <w:rPr>
                <w:rFonts w:ascii="Arial Narrow" w:hAnsi="Arial Narrow" w:cs="Arial"/>
                <w:color w:val="000000"/>
                <w:sz w:val="18"/>
                <w:szCs w:val="18"/>
              </w:rPr>
              <w:t>,</w:t>
            </w:r>
            <w:r w:rsidR="00E04596">
              <w:rPr>
                <w:rFonts w:ascii="Arial Narrow" w:hAnsi="Arial Narrow" w:cs="Arial"/>
                <w:color w:val="000000"/>
                <w:sz w:val="18"/>
                <w:szCs w:val="18"/>
              </w:rPr>
              <w:t>4</w:t>
            </w:r>
          </w:p>
        </w:tc>
        <w:tc>
          <w:tcPr>
            <w:tcW w:w="851" w:type="dxa"/>
            <w:tcBorders>
              <w:top w:val="single" w:sz="2" w:space="0" w:color="auto"/>
              <w:left w:val="nil"/>
              <w:bottom w:val="single" w:sz="2" w:space="0" w:color="auto"/>
              <w:right w:val="nil"/>
            </w:tcBorders>
            <w:shd w:val="clear" w:color="auto" w:fill="D9D9D9"/>
            <w:noWrap/>
            <w:vAlign w:val="bottom"/>
          </w:tcPr>
          <w:p w14:paraId="1D5366A6" w14:textId="77777777" w:rsidR="00FD66E9" w:rsidRPr="00ED7ABC" w:rsidRDefault="00E04596" w:rsidP="00E04596">
            <w:pPr>
              <w:spacing w:after="0" w:line="240" w:lineRule="auto"/>
              <w:jc w:val="center"/>
              <w:rPr>
                <w:rFonts w:ascii="Arial Narrow" w:hAnsi="Arial Narrow" w:cs="Arial"/>
                <w:sz w:val="18"/>
                <w:szCs w:val="18"/>
              </w:rPr>
            </w:pPr>
            <w:r>
              <w:rPr>
                <w:rFonts w:ascii="Arial Narrow" w:hAnsi="Arial Narrow" w:cs="Arial"/>
                <w:color w:val="000000"/>
                <w:sz w:val="18"/>
                <w:szCs w:val="18"/>
              </w:rPr>
              <w:t>7</w:t>
            </w:r>
            <w:r w:rsidR="00FD66E9" w:rsidRPr="00ED7ABC">
              <w:rPr>
                <w:rFonts w:ascii="Arial Narrow" w:hAnsi="Arial Narrow" w:cs="Arial"/>
                <w:color w:val="000000"/>
                <w:sz w:val="18"/>
                <w:szCs w:val="18"/>
              </w:rPr>
              <w:t>,</w:t>
            </w:r>
            <w:r>
              <w:rPr>
                <w:rFonts w:ascii="Arial Narrow" w:hAnsi="Arial Narrow" w:cs="Arial"/>
                <w:color w:val="000000"/>
                <w:sz w:val="18"/>
                <w:szCs w:val="18"/>
              </w:rPr>
              <w:t>8</w:t>
            </w:r>
          </w:p>
        </w:tc>
      </w:tr>
      <w:tr w:rsidR="00FD66E9" w14:paraId="6FCA1A7D" w14:textId="77777777" w:rsidTr="00F30A12">
        <w:trPr>
          <w:trHeight w:val="227"/>
        </w:trPr>
        <w:tc>
          <w:tcPr>
            <w:tcW w:w="5101" w:type="dxa"/>
            <w:tcBorders>
              <w:top w:val="single" w:sz="2" w:space="0" w:color="auto"/>
              <w:left w:val="nil"/>
              <w:bottom w:val="single" w:sz="2" w:space="0" w:color="auto"/>
              <w:right w:val="nil"/>
            </w:tcBorders>
            <w:noWrap/>
            <w:vAlign w:val="bottom"/>
            <w:hideMark/>
          </w:tcPr>
          <w:p w14:paraId="3ED6A28B" w14:textId="77777777" w:rsidR="00FD66E9" w:rsidRDefault="00FD66E9" w:rsidP="00FD66E9">
            <w:pPr>
              <w:pStyle w:val="053tabella-figuratesto"/>
              <w:jc w:val="left"/>
              <w:rPr>
                <w:lang w:eastAsia="it-IT"/>
              </w:rPr>
            </w:pPr>
            <w:r>
              <w:rPr>
                <w:lang w:eastAsia="it-IT"/>
              </w:rPr>
              <w:t>Esportazioni di beni e servizi fob</w:t>
            </w:r>
          </w:p>
        </w:tc>
        <w:tc>
          <w:tcPr>
            <w:tcW w:w="851" w:type="dxa"/>
            <w:tcBorders>
              <w:top w:val="single" w:sz="2" w:space="0" w:color="auto"/>
              <w:left w:val="nil"/>
              <w:bottom w:val="single" w:sz="2" w:space="0" w:color="auto"/>
              <w:right w:val="nil"/>
            </w:tcBorders>
            <w:noWrap/>
            <w:vAlign w:val="bottom"/>
          </w:tcPr>
          <w:p w14:paraId="4B2688DC"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2,3</w:t>
            </w:r>
          </w:p>
        </w:tc>
        <w:tc>
          <w:tcPr>
            <w:tcW w:w="851" w:type="dxa"/>
            <w:tcBorders>
              <w:top w:val="single" w:sz="2" w:space="0" w:color="auto"/>
              <w:left w:val="nil"/>
              <w:bottom w:val="single" w:sz="2" w:space="0" w:color="auto"/>
              <w:right w:val="nil"/>
            </w:tcBorders>
            <w:noWrap/>
            <w:vAlign w:val="bottom"/>
          </w:tcPr>
          <w:p w14:paraId="205D3C03"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1,2</w:t>
            </w:r>
          </w:p>
        </w:tc>
        <w:tc>
          <w:tcPr>
            <w:tcW w:w="851" w:type="dxa"/>
            <w:tcBorders>
              <w:top w:val="single" w:sz="2" w:space="0" w:color="auto"/>
              <w:left w:val="nil"/>
              <w:bottom w:val="single" w:sz="2" w:space="0" w:color="auto"/>
              <w:right w:val="nil"/>
            </w:tcBorders>
            <w:shd w:val="clear" w:color="auto" w:fill="D9D9D9"/>
            <w:noWrap/>
            <w:vAlign w:val="bottom"/>
          </w:tcPr>
          <w:p w14:paraId="33D3FBA2"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-13,9</w:t>
            </w:r>
          </w:p>
        </w:tc>
        <w:tc>
          <w:tcPr>
            <w:tcW w:w="851" w:type="dxa"/>
            <w:tcBorders>
              <w:top w:val="single" w:sz="2" w:space="0" w:color="auto"/>
              <w:left w:val="nil"/>
              <w:bottom w:val="single" w:sz="2" w:space="0" w:color="auto"/>
              <w:right w:val="nil"/>
            </w:tcBorders>
            <w:shd w:val="clear" w:color="auto" w:fill="D9D9D9"/>
            <w:noWrap/>
            <w:vAlign w:val="bottom"/>
          </w:tcPr>
          <w:p w14:paraId="666946B2" w14:textId="77777777" w:rsidR="00FD66E9" w:rsidRPr="00ED7ABC" w:rsidRDefault="00E04596" w:rsidP="00E04596">
            <w:pPr>
              <w:spacing w:after="0" w:line="240" w:lineRule="auto"/>
              <w:jc w:val="center"/>
              <w:rPr>
                <w:rFonts w:ascii="Arial Narrow" w:hAnsi="Arial Narrow" w:cs="Arial"/>
                <w:sz w:val="18"/>
                <w:szCs w:val="18"/>
              </w:rPr>
            </w:pPr>
            <w:r>
              <w:rPr>
                <w:rFonts w:ascii="Arial Narrow" w:hAnsi="Arial Narrow" w:cs="Arial"/>
                <w:color w:val="000000"/>
                <w:sz w:val="18"/>
                <w:szCs w:val="18"/>
              </w:rPr>
              <w:t>7</w:t>
            </w:r>
            <w:r w:rsidR="00FD66E9" w:rsidRPr="00ED7ABC">
              <w:rPr>
                <w:rFonts w:ascii="Arial Narrow" w:hAnsi="Arial Narrow" w:cs="Arial"/>
                <w:color w:val="000000"/>
                <w:sz w:val="18"/>
                <w:szCs w:val="18"/>
              </w:rPr>
              <w:t>,</w:t>
            </w:r>
            <w:r>
              <w:rPr>
                <w:rFonts w:ascii="Arial Narrow" w:hAnsi="Arial Narrow" w:cs="Arial"/>
                <w:color w:val="000000"/>
                <w:sz w:val="18"/>
                <w:szCs w:val="18"/>
              </w:rPr>
              <w:t>9</w:t>
            </w:r>
          </w:p>
        </w:tc>
      </w:tr>
      <w:tr w:rsidR="00FD66E9" w:rsidRPr="005129B6" w14:paraId="48F31E86" w14:textId="77777777" w:rsidTr="00F30A12">
        <w:trPr>
          <w:trHeight w:val="227"/>
        </w:trPr>
        <w:tc>
          <w:tcPr>
            <w:tcW w:w="5101" w:type="dxa"/>
            <w:tcBorders>
              <w:top w:val="single" w:sz="2" w:space="0" w:color="auto"/>
              <w:left w:val="nil"/>
              <w:bottom w:val="single" w:sz="2" w:space="0" w:color="auto"/>
              <w:right w:val="nil"/>
            </w:tcBorders>
            <w:noWrap/>
            <w:vAlign w:val="bottom"/>
            <w:hideMark/>
          </w:tcPr>
          <w:p w14:paraId="376728F8" w14:textId="77777777" w:rsidR="00FD66E9" w:rsidRPr="00755F31" w:rsidRDefault="00FD66E9" w:rsidP="00FD66E9">
            <w:pPr>
              <w:pStyle w:val="053tabella-figuratesto"/>
              <w:jc w:val="left"/>
              <w:rPr>
                <w:lang w:eastAsia="it-IT"/>
              </w:rPr>
            </w:pPr>
            <w:r w:rsidRPr="00755F31">
              <w:rPr>
                <w:lang w:eastAsia="it-IT"/>
              </w:rPr>
              <w:t>DOMANDA INTERNA INCLUSE LE SCORTE</w:t>
            </w:r>
          </w:p>
        </w:tc>
        <w:tc>
          <w:tcPr>
            <w:tcW w:w="851" w:type="dxa"/>
            <w:tcBorders>
              <w:top w:val="single" w:sz="2" w:space="0" w:color="auto"/>
              <w:left w:val="nil"/>
              <w:bottom w:val="single" w:sz="2" w:space="0" w:color="auto"/>
              <w:right w:val="nil"/>
            </w:tcBorders>
            <w:noWrap/>
            <w:vAlign w:val="bottom"/>
          </w:tcPr>
          <w:p w14:paraId="0B9B79CE"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1,1</w:t>
            </w:r>
          </w:p>
        </w:tc>
        <w:tc>
          <w:tcPr>
            <w:tcW w:w="851" w:type="dxa"/>
            <w:tcBorders>
              <w:top w:val="single" w:sz="2" w:space="0" w:color="auto"/>
              <w:left w:val="nil"/>
              <w:bottom w:val="single" w:sz="2" w:space="0" w:color="auto"/>
              <w:right w:val="nil"/>
            </w:tcBorders>
            <w:noWrap/>
            <w:vAlign w:val="bottom"/>
          </w:tcPr>
          <w:p w14:paraId="669C80CA"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-0,2</w:t>
            </w:r>
          </w:p>
        </w:tc>
        <w:tc>
          <w:tcPr>
            <w:tcW w:w="851" w:type="dxa"/>
            <w:tcBorders>
              <w:top w:val="single" w:sz="2" w:space="0" w:color="auto"/>
              <w:left w:val="nil"/>
              <w:bottom w:val="single" w:sz="2" w:space="0" w:color="auto"/>
              <w:right w:val="nil"/>
            </w:tcBorders>
            <w:shd w:val="clear" w:color="auto" w:fill="D9D9D9"/>
            <w:noWrap/>
            <w:vAlign w:val="bottom"/>
          </w:tcPr>
          <w:p w14:paraId="1D05C4FD" w14:textId="77777777" w:rsidR="00FD66E9" w:rsidRPr="00ED7ABC" w:rsidRDefault="00FD66E9" w:rsidP="00E04596">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w:t>
            </w:r>
            <w:r w:rsidR="00E04596">
              <w:rPr>
                <w:rFonts w:ascii="Arial Narrow" w:hAnsi="Arial Narrow" w:cs="Arial"/>
                <w:color w:val="000000"/>
                <w:sz w:val="18"/>
                <w:szCs w:val="18"/>
              </w:rPr>
              <w:t>8</w:t>
            </w:r>
            <w:r w:rsidRPr="00ED7ABC">
              <w:rPr>
                <w:rFonts w:ascii="Arial Narrow" w:hAnsi="Arial Narrow" w:cs="Arial"/>
                <w:color w:val="000000"/>
                <w:sz w:val="18"/>
                <w:szCs w:val="18"/>
              </w:rPr>
              <w:t>,</w:t>
            </w:r>
            <w:r w:rsidR="00E04596">
              <w:rPr>
                <w:rFonts w:ascii="Arial Narrow" w:hAnsi="Arial Narrow" w:cs="Arial"/>
                <w:color w:val="000000"/>
                <w:sz w:val="18"/>
                <w:szCs w:val="18"/>
              </w:rPr>
              <w:t>3</w:t>
            </w:r>
          </w:p>
        </w:tc>
        <w:tc>
          <w:tcPr>
            <w:tcW w:w="851" w:type="dxa"/>
            <w:tcBorders>
              <w:top w:val="single" w:sz="2" w:space="0" w:color="auto"/>
              <w:left w:val="nil"/>
              <w:bottom w:val="single" w:sz="2" w:space="0" w:color="auto"/>
              <w:right w:val="nil"/>
            </w:tcBorders>
            <w:shd w:val="clear" w:color="auto" w:fill="D9D9D9"/>
            <w:noWrap/>
            <w:vAlign w:val="bottom"/>
          </w:tcPr>
          <w:p w14:paraId="0162DE34"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4,4</w:t>
            </w:r>
          </w:p>
        </w:tc>
      </w:tr>
      <w:tr w:rsidR="00FD66E9" w14:paraId="0A088AE1" w14:textId="77777777" w:rsidTr="00F30A12">
        <w:trPr>
          <w:trHeight w:val="227"/>
        </w:trPr>
        <w:tc>
          <w:tcPr>
            <w:tcW w:w="5101" w:type="dxa"/>
            <w:tcBorders>
              <w:top w:val="single" w:sz="2" w:space="0" w:color="auto"/>
              <w:left w:val="nil"/>
              <w:bottom w:val="single" w:sz="2" w:space="0" w:color="auto"/>
              <w:right w:val="nil"/>
            </w:tcBorders>
            <w:noWrap/>
            <w:vAlign w:val="bottom"/>
            <w:hideMark/>
          </w:tcPr>
          <w:p w14:paraId="31E6C5E9" w14:textId="77777777" w:rsidR="00FD66E9" w:rsidRPr="005129B6" w:rsidRDefault="00FD66E9" w:rsidP="00FD66E9">
            <w:pPr>
              <w:pStyle w:val="053tabella-figuratesto"/>
              <w:jc w:val="left"/>
              <w:rPr>
                <w:lang w:eastAsia="it-IT"/>
              </w:rPr>
            </w:pPr>
            <w:r w:rsidRPr="005129B6">
              <w:rPr>
                <w:lang w:eastAsia="it-IT"/>
              </w:rPr>
              <w:t>Spesa delle famiglie residenti</w:t>
            </w:r>
            <w:r>
              <w:rPr>
                <w:lang w:eastAsia="it-IT"/>
              </w:rPr>
              <w:t xml:space="preserve"> e delle ISP</w:t>
            </w:r>
          </w:p>
        </w:tc>
        <w:tc>
          <w:tcPr>
            <w:tcW w:w="851" w:type="dxa"/>
            <w:tcBorders>
              <w:top w:val="single" w:sz="2" w:space="0" w:color="auto"/>
              <w:left w:val="nil"/>
              <w:bottom w:val="single" w:sz="2" w:space="0" w:color="auto"/>
              <w:right w:val="nil"/>
            </w:tcBorders>
            <w:noWrap/>
            <w:vAlign w:val="bottom"/>
          </w:tcPr>
          <w:p w14:paraId="7D4348AB"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0,9</w:t>
            </w:r>
          </w:p>
        </w:tc>
        <w:tc>
          <w:tcPr>
            <w:tcW w:w="851" w:type="dxa"/>
            <w:tcBorders>
              <w:top w:val="single" w:sz="2" w:space="0" w:color="auto"/>
              <w:left w:val="nil"/>
              <w:bottom w:val="single" w:sz="2" w:space="0" w:color="auto"/>
              <w:right w:val="nil"/>
            </w:tcBorders>
            <w:noWrap/>
            <w:vAlign w:val="bottom"/>
          </w:tcPr>
          <w:p w14:paraId="1947BDD6"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0,4</w:t>
            </w:r>
          </w:p>
        </w:tc>
        <w:tc>
          <w:tcPr>
            <w:tcW w:w="851" w:type="dxa"/>
            <w:tcBorders>
              <w:top w:val="single" w:sz="2" w:space="0" w:color="auto"/>
              <w:left w:val="nil"/>
              <w:bottom w:val="single" w:sz="2" w:space="0" w:color="auto"/>
              <w:right w:val="nil"/>
            </w:tcBorders>
            <w:shd w:val="clear" w:color="auto" w:fill="D9D9D9"/>
            <w:noWrap/>
            <w:vAlign w:val="bottom"/>
          </w:tcPr>
          <w:p w14:paraId="704A7C01" w14:textId="77777777" w:rsidR="00FD66E9" w:rsidRPr="00ED7ABC" w:rsidRDefault="00FD66E9" w:rsidP="00FF462C">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-8,</w:t>
            </w:r>
            <w:r w:rsidR="00FF462C">
              <w:rPr>
                <w:rFonts w:ascii="Arial Narrow" w:hAnsi="Arial Narrow" w:cs="Arial"/>
                <w:color w:val="000000"/>
                <w:sz w:val="18"/>
                <w:szCs w:val="18"/>
              </w:rPr>
              <w:t>7</w:t>
            </w:r>
          </w:p>
        </w:tc>
        <w:tc>
          <w:tcPr>
            <w:tcW w:w="851" w:type="dxa"/>
            <w:tcBorders>
              <w:top w:val="single" w:sz="2" w:space="0" w:color="auto"/>
              <w:left w:val="nil"/>
              <w:bottom w:val="single" w:sz="2" w:space="0" w:color="auto"/>
              <w:right w:val="nil"/>
            </w:tcBorders>
            <w:shd w:val="clear" w:color="auto" w:fill="D9D9D9"/>
            <w:noWrap/>
            <w:vAlign w:val="bottom"/>
          </w:tcPr>
          <w:p w14:paraId="74841437" w14:textId="77777777" w:rsidR="00FD66E9" w:rsidRPr="00ED7ABC" w:rsidRDefault="00FD66E9" w:rsidP="00FF462C">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5,</w:t>
            </w:r>
            <w:r w:rsidR="00FF462C">
              <w:rPr>
                <w:rFonts w:ascii="Arial Narrow" w:hAnsi="Arial Narrow" w:cs="Arial"/>
                <w:color w:val="000000"/>
                <w:sz w:val="18"/>
                <w:szCs w:val="18"/>
              </w:rPr>
              <w:t>0</w:t>
            </w:r>
          </w:p>
        </w:tc>
      </w:tr>
      <w:tr w:rsidR="00FD66E9" w14:paraId="3818BBF5" w14:textId="77777777" w:rsidTr="00F30A12">
        <w:trPr>
          <w:trHeight w:val="227"/>
        </w:trPr>
        <w:tc>
          <w:tcPr>
            <w:tcW w:w="5101" w:type="dxa"/>
            <w:tcBorders>
              <w:top w:val="single" w:sz="2" w:space="0" w:color="auto"/>
              <w:left w:val="nil"/>
              <w:bottom w:val="single" w:sz="2" w:space="0" w:color="auto"/>
              <w:right w:val="nil"/>
            </w:tcBorders>
            <w:noWrap/>
            <w:vAlign w:val="bottom"/>
            <w:hideMark/>
          </w:tcPr>
          <w:p w14:paraId="04C487D3" w14:textId="77777777" w:rsidR="00FD66E9" w:rsidRPr="005129B6" w:rsidRDefault="00FD66E9" w:rsidP="00FD66E9">
            <w:pPr>
              <w:pStyle w:val="053tabella-figuratesto"/>
              <w:jc w:val="left"/>
              <w:rPr>
                <w:lang w:eastAsia="it-IT"/>
              </w:rPr>
            </w:pPr>
            <w:r w:rsidRPr="005129B6">
              <w:rPr>
                <w:lang w:eastAsia="it-IT"/>
              </w:rPr>
              <w:t>Spesa delle AP</w:t>
            </w:r>
          </w:p>
        </w:tc>
        <w:tc>
          <w:tcPr>
            <w:tcW w:w="851" w:type="dxa"/>
            <w:tcBorders>
              <w:top w:val="single" w:sz="2" w:space="0" w:color="auto"/>
              <w:left w:val="nil"/>
              <w:bottom w:val="single" w:sz="2" w:space="0" w:color="auto"/>
              <w:right w:val="nil"/>
            </w:tcBorders>
            <w:noWrap/>
            <w:vAlign w:val="bottom"/>
          </w:tcPr>
          <w:p w14:paraId="029B51F8"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0,1</w:t>
            </w:r>
          </w:p>
        </w:tc>
        <w:tc>
          <w:tcPr>
            <w:tcW w:w="851" w:type="dxa"/>
            <w:tcBorders>
              <w:top w:val="single" w:sz="2" w:space="0" w:color="auto"/>
              <w:left w:val="nil"/>
              <w:bottom w:val="single" w:sz="2" w:space="0" w:color="auto"/>
              <w:right w:val="nil"/>
            </w:tcBorders>
            <w:noWrap/>
            <w:vAlign w:val="bottom"/>
          </w:tcPr>
          <w:p w14:paraId="1BA43FEF"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-0,4</w:t>
            </w:r>
          </w:p>
        </w:tc>
        <w:tc>
          <w:tcPr>
            <w:tcW w:w="851" w:type="dxa"/>
            <w:tcBorders>
              <w:top w:val="single" w:sz="2" w:space="0" w:color="auto"/>
              <w:left w:val="nil"/>
              <w:bottom w:val="single" w:sz="2" w:space="0" w:color="auto"/>
              <w:right w:val="nil"/>
            </w:tcBorders>
            <w:shd w:val="clear" w:color="auto" w:fill="D9D9D9"/>
            <w:noWrap/>
            <w:vAlign w:val="bottom"/>
          </w:tcPr>
          <w:p w14:paraId="07356715" w14:textId="77777777" w:rsidR="00FD66E9" w:rsidRPr="00FF462C" w:rsidRDefault="00FF462C" w:rsidP="00FD66E9">
            <w:pPr>
              <w:spacing w:after="0" w:line="240" w:lineRule="auto"/>
              <w:jc w:val="center"/>
              <w:rPr>
                <w:rFonts w:ascii="Arial Narrow" w:hAnsi="Arial Narrow" w:cs="Arial"/>
                <w:color w:val="000000"/>
                <w:sz w:val="18"/>
                <w:szCs w:val="18"/>
              </w:rPr>
            </w:pPr>
            <w:r>
              <w:rPr>
                <w:rFonts w:ascii="Arial Narrow" w:hAnsi="Arial Narrow" w:cs="Arial"/>
                <w:color w:val="000000"/>
                <w:sz w:val="18"/>
                <w:szCs w:val="18"/>
              </w:rPr>
              <w:t>1,6</w:t>
            </w:r>
          </w:p>
        </w:tc>
        <w:tc>
          <w:tcPr>
            <w:tcW w:w="851" w:type="dxa"/>
            <w:tcBorders>
              <w:top w:val="single" w:sz="2" w:space="0" w:color="auto"/>
              <w:left w:val="nil"/>
              <w:bottom w:val="single" w:sz="2" w:space="0" w:color="auto"/>
              <w:right w:val="nil"/>
            </w:tcBorders>
            <w:shd w:val="clear" w:color="auto" w:fill="D9D9D9"/>
            <w:noWrap/>
            <w:vAlign w:val="bottom"/>
          </w:tcPr>
          <w:p w14:paraId="26C03E0A"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w:t>
            </w:r>
            <w:r w:rsidR="00FF462C">
              <w:rPr>
                <w:rFonts w:ascii="Arial Narrow" w:hAnsi="Arial Narrow" w:cs="Arial"/>
                <w:color w:val="000000"/>
                <w:sz w:val="18"/>
                <w:szCs w:val="18"/>
              </w:rPr>
              <w:t>,3</w:t>
            </w:r>
          </w:p>
        </w:tc>
      </w:tr>
      <w:tr w:rsidR="00FD66E9" w14:paraId="7D4461D9" w14:textId="77777777" w:rsidTr="00F30A12">
        <w:trPr>
          <w:trHeight w:val="227"/>
        </w:trPr>
        <w:tc>
          <w:tcPr>
            <w:tcW w:w="5101" w:type="dxa"/>
            <w:tcBorders>
              <w:top w:val="single" w:sz="2" w:space="0" w:color="auto"/>
              <w:left w:val="nil"/>
              <w:bottom w:val="single" w:sz="2" w:space="0" w:color="auto"/>
              <w:right w:val="nil"/>
            </w:tcBorders>
            <w:noWrap/>
            <w:vAlign w:val="bottom"/>
            <w:hideMark/>
          </w:tcPr>
          <w:p w14:paraId="27EF73EE" w14:textId="77777777" w:rsidR="00FD66E9" w:rsidRPr="005129B6" w:rsidRDefault="00FD66E9" w:rsidP="00FD66E9">
            <w:pPr>
              <w:pStyle w:val="053tabella-figuratesto"/>
              <w:jc w:val="left"/>
              <w:rPr>
                <w:lang w:eastAsia="it-IT"/>
              </w:rPr>
            </w:pPr>
            <w:r w:rsidRPr="005129B6">
              <w:rPr>
                <w:lang w:eastAsia="it-IT"/>
              </w:rPr>
              <w:t>Investimenti fissi lordi</w:t>
            </w:r>
          </w:p>
        </w:tc>
        <w:tc>
          <w:tcPr>
            <w:tcW w:w="851" w:type="dxa"/>
            <w:tcBorders>
              <w:top w:val="single" w:sz="2" w:space="0" w:color="auto"/>
              <w:left w:val="nil"/>
              <w:bottom w:val="single" w:sz="2" w:space="0" w:color="auto"/>
              <w:right w:val="nil"/>
            </w:tcBorders>
            <w:noWrap/>
            <w:vAlign w:val="bottom"/>
          </w:tcPr>
          <w:p w14:paraId="283F47B5"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3,1</w:t>
            </w:r>
          </w:p>
        </w:tc>
        <w:tc>
          <w:tcPr>
            <w:tcW w:w="851" w:type="dxa"/>
            <w:tcBorders>
              <w:top w:val="single" w:sz="2" w:space="0" w:color="auto"/>
              <w:left w:val="nil"/>
              <w:bottom w:val="single" w:sz="2" w:space="0" w:color="auto"/>
              <w:right w:val="nil"/>
            </w:tcBorders>
            <w:noWrap/>
            <w:vAlign w:val="bottom"/>
          </w:tcPr>
          <w:p w14:paraId="1EAEA0DB"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1,4</w:t>
            </w:r>
          </w:p>
        </w:tc>
        <w:tc>
          <w:tcPr>
            <w:tcW w:w="851" w:type="dxa"/>
            <w:tcBorders>
              <w:top w:val="single" w:sz="2" w:space="0" w:color="auto"/>
              <w:left w:val="nil"/>
              <w:bottom w:val="single" w:sz="2" w:space="0" w:color="auto"/>
              <w:right w:val="nil"/>
            </w:tcBorders>
            <w:shd w:val="clear" w:color="auto" w:fill="D9D9D9"/>
            <w:noWrap/>
            <w:vAlign w:val="bottom"/>
          </w:tcPr>
          <w:p w14:paraId="2C5DAA95" w14:textId="77777777" w:rsidR="00FD66E9" w:rsidRPr="00ED7ABC" w:rsidRDefault="00FD66E9" w:rsidP="00FF462C">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-12,</w:t>
            </w:r>
            <w:r w:rsidR="00FF462C">
              <w:rPr>
                <w:rFonts w:ascii="Arial Narrow" w:hAnsi="Arial Narrow" w:cs="Arial"/>
                <w:color w:val="000000"/>
                <w:sz w:val="18"/>
                <w:szCs w:val="18"/>
              </w:rPr>
              <w:t>5</w:t>
            </w:r>
          </w:p>
        </w:tc>
        <w:tc>
          <w:tcPr>
            <w:tcW w:w="851" w:type="dxa"/>
            <w:tcBorders>
              <w:top w:val="single" w:sz="2" w:space="0" w:color="auto"/>
              <w:left w:val="nil"/>
              <w:bottom w:val="single" w:sz="2" w:space="0" w:color="auto"/>
              <w:right w:val="nil"/>
            </w:tcBorders>
            <w:shd w:val="clear" w:color="auto" w:fill="D9D9D9"/>
            <w:noWrap/>
            <w:vAlign w:val="bottom"/>
          </w:tcPr>
          <w:p w14:paraId="2065D260" w14:textId="77777777" w:rsidR="00FD66E9" w:rsidRPr="00ED7ABC" w:rsidRDefault="00FF462C" w:rsidP="00FF462C">
            <w:pPr>
              <w:spacing w:after="0" w:line="240" w:lineRule="auto"/>
              <w:jc w:val="center"/>
              <w:rPr>
                <w:rFonts w:ascii="Arial Narrow" w:hAnsi="Arial Narrow" w:cs="Arial"/>
                <w:sz w:val="18"/>
                <w:szCs w:val="18"/>
              </w:rPr>
            </w:pPr>
            <w:r>
              <w:rPr>
                <w:rFonts w:ascii="Arial Narrow" w:hAnsi="Arial Narrow" w:cs="Arial"/>
                <w:color w:val="000000"/>
                <w:sz w:val="18"/>
                <w:szCs w:val="18"/>
              </w:rPr>
              <w:t>6</w:t>
            </w:r>
            <w:r w:rsidR="00FD66E9" w:rsidRPr="00ED7ABC">
              <w:rPr>
                <w:rFonts w:ascii="Arial Narrow" w:hAnsi="Arial Narrow" w:cs="Arial"/>
                <w:color w:val="000000"/>
                <w:sz w:val="18"/>
                <w:szCs w:val="18"/>
              </w:rPr>
              <w:t>,</w:t>
            </w:r>
            <w:r>
              <w:rPr>
                <w:rFonts w:ascii="Arial Narrow" w:hAnsi="Arial Narrow" w:cs="Arial"/>
                <w:color w:val="000000"/>
                <w:sz w:val="18"/>
                <w:szCs w:val="18"/>
              </w:rPr>
              <w:t>3</w:t>
            </w:r>
          </w:p>
        </w:tc>
      </w:tr>
      <w:tr w:rsidR="00DA5046" w:rsidRPr="00755F31" w14:paraId="43F916CB" w14:textId="77777777" w:rsidTr="00F30A12">
        <w:trPr>
          <w:trHeight w:val="227"/>
        </w:trPr>
        <w:tc>
          <w:tcPr>
            <w:tcW w:w="5101" w:type="dxa"/>
            <w:tcBorders>
              <w:top w:val="single" w:sz="2" w:space="0" w:color="auto"/>
              <w:left w:val="nil"/>
              <w:bottom w:val="single" w:sz="2" w:space="0" w:color="auto"/>
              <w:right w:val="nil"/>
            </w:tcBorders>
            <w:noWrap/>
            <w:vAlign w:val="bottom"/>
          </w:tcPr>
          <w:p w14:paraId="436AABC8" w14:textId="77777777" w:rsidR="00DA5046" w:rsidRPr="00755F31" w:rsidRDefault="00DA5046" w:rsidP="00E350FA">
            <w:pPr>
              <w:pStyle w:val="053tabella-figuratesto"/>
              <w:jc w:val="left"/>
              <w:rPr>
                <w:lang w:eastAsia="it-IT"/>
              </w:rPr>
            </w:pPr>
            <w:r w:rsidRPr="00755F31">
              <w:rPr>
                <w:lang w:eastAsia="it-IT"/>
              </w:rPr>
              <w:t>CONTRIBUTI ALLA CRESCITA DEL PIL</w:t>
            </w:r>
          </w:p>
        </w:tc>
        <w:tc>
          <w:tcPr>
            <w:tcW w:w="851" w:type="dxa"/>
            <w:tcBorders>
              <w:top w:val="single" w:sz="2" w:space="0" w:color="auto"/>
              <w:left w:val="nil"/>
              <w:bottom w:val="single" w:sz="2" w:space="0" w:color="auto"/>
              <w:right w:val="nil"/>
            </w:tcBorders>
            <w:noWrap/>
          </w:tcPr>
          <w:p w14:paraId="6E4CEB80" w14:textId="77777777" w:rsidR="00DA5046" w:rsidRPr="00ED7ABC" w:rsidRDefault="00DA5046" w:rsidP="00E350FA">
            <w:pPr>
              <w:spacing w:after="0" w:line="240" w:lineRule="auto"/>
              <w:jc w:val="center"/>
              <w:rPr>
                <w:rFonts w:ascii="Arial Narrow" w:hAnsi="Arial Narrow" w:cs="Arial"/>
                <w:sz w:val="18"/>
                <w:szCs w:val="18"/>
              </w:rPr>
            </w:pPr>
          </w:p>
        </w:tc>
        <w:tc>
          <w:tcPr>
            <w:tcW w:w="851" w:type="dxa"/>
            <w:tcBorders>
              <w:top w:val="single" w:sz="2" w:space="0" w:color="auto"/>
              <w:left w:val="nil"/>
              <w:bottom w:val="single" w:sz="2" w:space="0" w:color="auto"/>
              <w:right w:val="nil"/>
            </w:tcBorders>
            <w:noWrap/>
          </w:tcPr>
          <w:p w14:paraId="17F37128" w14:textId="77777777" w:rsidR="00DA5046" w:rsidRPr="00ED7ABC" w:rsidRDefault="00DA5046" w:rsidP="00E350FA">
            <w:pPr>
              <w:spacing w:after="0" w:line="240" w:lineRule="auto"/>
              <w:jc w:val="center"/>
              <w:rPr>
                <w:rFonts w:ascii="Arial Narrow" w:hAnsi="Arial Narrow" w:cs="Arial"/>
                <w:sz w:val="18"/>
                <w:szCs w:val="18"/>
              </w:rPr>
            </w:pPr>
          </w:p>
        </w:tc>
        <w:tc>
          <w:tcPr>
            <w:tcW w:w="851" w:type="dxa"/>
            <w:tcBorders>
              <w:top w:val="single" w:sz="2" w:space="0" w:color="auto"/>
              <w:left w:val="nil"/>
              <w:bottom w:val="single" w:sz="2" w:space="0" w:color="auto"/>
              <w:right w:val="nil"/>
            </w:tcBorders>
            <w:shd w:val="clear" w:color="auto" w:fill="D9D9D9"/>
            <w:noWrap/>
          </w:tcPr>
          <w:p w14:paraId="7148D57C" w14:textId="77777777" w:rsidR="00DA5046" w:rsidRPr="00ED7ABC" w:rsidRDefault="00DA5046" w:rsidP="00E350FA">
            <w:pPr>
              <w:spacing w:after="0" w:line="240" w:lineRule="auto"/>
              <w:jc w:val="center"/>
              <w:rPr>
                <w:rFonts w:ascii="Arial Narrow" w:hAnsi="Arial Narrow" w:cs="Arial"/>
                <w:sz w:val="18"/>
                <w:szCs w:val="18"/>
              </w:rPr>
            </w:pPr>
          </w:p>
        </w:tc>
        <w:tc>
          <w:tcPr>
            <w:tcW w:w="851" w:type="dxa"/>
            <w:tcBorders>
              <w:top w:val="single" w:sz="2" w:space="0" w:color="auto"/>
              <w:left w:val="nil"/>
              <w:bottom w:val="single" w:sz="2" w:space="0" w:color="auto"/>
              <w:right w:val="nil"/>
            </w:tcBorders>
            <w:shd w:val="clear" w:color="auto" w:fill="D9D9D9"/>
            <w:noWrap/>
          </w:tcPr>
          <w:p w14:paraId="1232DA9B" w14:textId="77777777" w:rsidR="00DA5046" w:rsidRPr="00ED7ABC" w:rsidRDefault="00DA5046" w:rsidP="00E350FA">
            <w:pPr>
              <w:spacing w:after="0" w:line="240" w:lineRule="auto"/>
              <w:jc w:val="center"/>
              <w:rPr>
                <w:rFonts w:ascii="Arial Narrow" w:hAnsi="Arial Narrow" w:cs="Arial"/>
                <w:sz w:val="18"/>
                <w:szCs w:val="18"/>
              </w:rPr>
            </w:pPr>
          </w:p>
        </w:tc>
      </w:tr>
      <w:tr w:rsidR="00FD66E9" w14:paraId="36AD607E" w14:textId="77777777" w:rsidTr="00F30A12">
        <w:trPr>
          <w:trHeight w:val="227"/>
        </w:trPr>
        <w:tc>
          <w:tcPr>
            <w:tcW w:w="5101" w:type="dxa"/>
            <w:tcBorders>
              <w:top w:val="single" w:sz="2" w:space="0" w:color="auto"/>
              <w:left w:val="nil"/>
              <w:bottom w:val="single" w:sz="2" w:space="0" w:color="auto"/>
              <w:right w:val="nil"/>
            </w:tcBorders>
            <w:noWrap/>
            <w:vAlign w:val="bottom"/>
          </w:tcPr>
          <w:p w14:paraId="45EC4336" w14:textId="77777777" w:rsidR="00FD66E9" w:rsidRDefault="00FD66E9" w:rsidP="00FD66E9">
            <w:pPr>
              <w:pStyle w:val="053tabella-figuratesto"/>
              <w:ind w:left="284"/>
              <w:jc w:val="left"/>
              <w:rPr>
                <w:lang w:eastAsia="it-IT"/>
              </w:rPr>
            </w:pPr>
            <w:r>
              <w:rPr>
                <w:lang w:eastAsia="it-IT"/>
              </w:rPr>
              <w:t>Domanda interna (al netto della variazione delle scorte)</w:t>
            </w:r>
          </w:p>
        </w:tc>
        <w:tc>
          <w:tcPr>
            <w:tcW w:w="851" w:type="dxa"/>
            <w:tcBorders>
              <w:top w:val="single" w:sz="2" w:space="0" w:color="auto"/>
              <w:left w:val="nil"/>
              <w:bottom w:val="single" w:sz="2" w:space="0" w:color="auto"/>
              <w:right w:val="nil"/>
            </w:tcBorders>
            <w:noWrap/>
            <w:vAlign w:val="bottom"/>
          </w:tcPr>
          <w:p w14:paraId="13DB43D0"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1,1</w:t>
            </w:r>
          </w:p>
        </w:tc>
        <w:tc>
          <w:tcPr>
            <w:tcW w:w="851" w:type="dxa"/>
            <w:tcBorders>
              <w:top w:val="single" w:sz="2" w:space="0" w:color="auto"/>
              <w:left w:val="nil"/>
              <w:bottom w:val="single" w:sz="2" w:space="0" w:color="auto"/>
              <w:right w:val="nil"/>
            </w:tcBorders>
            <w:noWrap/>
            <w:vAlign w:val="bottom"/>
          </w:tcPr>
          <w:p w14:paraId="5DC54A31"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0,4</w:t>
            </w:r>
          </w:p>
        </w:tc>
        <w:tc>
          <w:tcPr>
            <w:tcW w:w="851" w:type="dxa"/>
            <w:tcBorders>
              <w:top w:val="single" w:sz="2" w:space="0" w:color="auto"/>
              <w:left w:val="nil"/>
              <w:bottom w:val="single" w:sz="2" w:space="0" w:color="auto"/>
              <w:right w:val="nil"/>
            </w:tcBorders>
            <w:shd w:val="clear" w:color="auto" w:fill="D9D9D9"/>
            <w:noWrap/>
            <w:vAlign w:val="bottom"/>
          </w:tcPr>
          <w:p w14:paraId="74BC2C83"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-7,2</w:t>
            </w:r>
          </w:p>
        </w:tc>
        <w:tc>
          <w:tcPr>
            <w:tcW w:w="851" w:type="dxa"/>
            <w:tcBorders>
              <w:top w:val="single" w:sz="2" w:space="0" w:color="auto"/>
              <w:left w:val="nil"/>
              <w:bottom w:val="single" w:sz="2" w:space="0" w:color="auto"/>
              <w:right w:val="nil"/>
            </w:tcBorders>
            <w:shd w:val="clear" w:color="auto" w:fill="D9D9D9"/>
            <w:noWrap/>
            <w:vAlign w:val="bottom"/>
          </w:tcPr>
          <w:p w14:paraId="7204A150"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4,2</w:t>
            </w:r>
          </w:p>
        </w:tc>
      </w:tr>
      <w:tr w:rsidR="00FD66E9" w14:paraId="0FF346BD" w14:textId="77777777" w:rsidTr="00F30A12">
        <w:trPr>
          <w:trHeight w:val="227"/>
        </w:trPr>
        <w:tc>
          <w:tcPr>
            <w:tcW w:w="5101" w:type="dxa"/>
            <w:tcBorders>
              <w:top w:val="single" w:sz="2" w:space="0" w:color="auto"/>
              <w:left w:val="nil"/>
              <w:bottom w:val="single" w:sz="2" w:space="0" w:color="auto"/>
              <w:right w:val="nil"/>
            </w:tcBorders>
            <w:noWrap/>
            <w:vAlign w:val="bottom"/>
          </w:tcPr>
          <w:p w14:paraId="345B80F0" w14:textId="77777777" w:rsidR="00FD66E9" w:rsidRDefault="00FD66E9" w:rsidP="00FD66E9">
            <w:pPr>
              <w:pStyle w:val="053tabella-figuratesto"/>
              <w:ind w:left="284"/>
              <w:jc w:val="left"/>
              <w:rPr>
                <w:lang w:eastAsia="it-IT"/>
              </w:rPr>
            </w:pPr>
            <w:r>
              <w:rPr>
                <w:lang w:eastAsia="it-IT"/>
              </w:rPr>
              <w:t>Domanda estera netta</w:t>
            </w:r>
          </w:p>
        </w:tc>
        <w:tc>
          <w:tcPr>
            <w:tcW w:w="851" w:type="dxa"/>
            <w:tcBorders>
              <w:top w:val="single" w:sz="2" w:space="0" w:color="auto"/>
              <w:left w:val="nil"/>
              <w:bottom w:val="single" w:sz="2" w:space="0" w:color="auto"/>
              <w:right w:val="nil"/>
            </w:tcBorders>
            <w:noWrap/>
            <w:vAlign w:val="bottom"/>
          </w:tcPr>
          <w:p w14:paraId="356E55BF"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-0,3</w:t>
            </w:r>
          </w:p>
        </w:tc>
        <w:tc>
          <w:tcPr>
            <w:tcW w:w="851" w:type="dxa"/>
            <w:tcBorders>
              <w:top w:val="single" w:sz="2" w:space="0" w:color="auto"/>
              <w:left w:val="nil"/>
              <w:bottom w:val="single" w:sz="2" w:space="0" w:color="auto"/>
              <w:right w:val="nil"/>
            </w:tcBorders>
            <w:noWrap/>
            <w:vAlign w:val="bottom"/>
          </w:tcPr>
          <w:p w14:paraId="64DC6311"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0,5</w:t>
            </w:r>
          </w:p>
        </w:tc>
        <w:tc>
          <w:tcPr>
            <w:tcW w:w="851" w:type="dxa"/>
            <w:tcBorders>
              <w:top w:val="single" w:sz="2" w:space="0" w:color="auto"/>
              <w:left w:val="nil"/>
              <w:bottom w:val="single" w:sz="2" w:space="0" w:color="auto"/>
              <w:right w:val="nil"/>
            </w:tcBorders>
            <w:shd w:val="clear" w:color="auto" w:fill="D9D9D9"/>
            <w:noWrap/>
            <w:vAlign w:val="bottom"/>
          </w:tcPr>
          <w:p w14:paraId="75D1657B" w14:textId="77777777" w:rsidR="00FD66E9" w:rsidRPr="00ED7ABC" w:rsidRDefault="00FD66E9" w:rsidP="00FF462C">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w:t>
            </w:r>
            <w:r w:rsidR="00FF462C">
              <w:rPr>
                <w:rFonts w:ascii="Arial Narrow" w:hAnsi="Arial Narrow" w:cs="Arial"/>
                <w:color w:val="000000"/>
                <w:sz w:val="18"/>
                <w:szCs w:val="18"/>
              </w:rPr>
              <w:t>3</w:t>
            </w:r>
          </w:p>
        </w:tc>
        <w:tc>
          <w:tcPr>
            <w:tcW w:w="851" w:type="dxa"/>
            <w:tcBorders>
              <w:top w:val="single" w:sz="2" w:space="0" w:color="auto"/>
              <w:left w:val="nil"/>
              <w:bottom w:val="single" w:sz="2" w:space="0" w:color="auto"/>
              <w:right w:val="nil"/>
            </w:tcBorders>
            <w:shd w:val="clear" w:color="auto" w:fill="D9D9D9"/>
            <w:noWrap/>
            <w:vAlign w:val="bottom"/>
          </w:tcPr>
          <w:p w14:paraId="7D2F0582"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0,3</w:t>
            </w:r>
          </w:p>
        </w:tc>
      </w:tr>
      <w:tr w:rsidR="00FD66E9" w14:paraId="42831297" w14:textId="77777777" w:rsidTr="00F30A12">
        <w:trPr>
          <w:trHeight w:val="227"/>
        </w:trPr>
        <w:tc>
          <w:tcPr>
            <w:tcW w:w="5101" w:type="dxa"/>
            <w:tcBorders>
              <w:top w:val="single" w:sz="2" w:space="0" w:color="auto"/>
              <w:left w:val="nil"/>
              <w:bottom w:val="single" w:sz="2" w:space="0" w:color="auto"/>
              <w:right w:val="nil"/>
            </w:tcBorders>
            <w:noWrap/>
            <w:vAlign w:val="bottom"/>
          </w:tcPr>
          <w:p w14:paraId="02ED738A" w14:textId="77777777" w:rsidR="00FD66E9" w:rsidRDefault="00FD66E9" w:rsidP="00FD66E9">
            <w:pPr>
              <w:pStyle w:val="053tabella-figuratesto"/>
              <w:ind w:left="284"/>
              <w:jc w:val="left"/>
              <w:rPr>
                <w:lang w:eastAsia="it-IT"/>
              </w:rPr>
            </w:pPr>
            <w:r>
              <w:rPr>
                <w:lang w:eastAsia="it-IT"/>
              </w:rPr>
              <w:t xml:space="preserve">Variazione delle scorte </w:t>
            </w:r>
          </w:p>
        </w:tc>
        <w:tc>
          <w:tcPr>
            <w:tcW w:w="851" w:type="dxa"/>
            <w:tcBorders>
              <w:top w:val="single" w:sz="2" w:space="0" w:color="auto"/>
              <w:left w:val="nil"/>
              <w:bottom w:val="single" w:sz="2" w:space="0" w:color="auto"/>
              <w:right w:val="nil"/>
            </w:tcBorders>
            <w:noWrap/>
            <w:vAlign w:val="bottom"/>
          </w:tcPr>
          <w:p w14:paraId="6A76356B"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-0,1</w:t>
            </w:r>
          </w:p>
        </w:tc>
        <w:tc>
          <w:tcPr>
            <w:tcW w:w="851" w:type="dxa"/>
            <w:tcBorders>
              <w:top w:val="single" w:sz="2" w:space="0" w:color="auto"/>
              <w:left w:val="nil"/>
              <w:bottom w:val="single" w:sz="2" w:space="0" w:color="auto"/>
              <w:right w:val="nil"/>
            </w:tcBorders>
            <w:noWrap/>
            <w:vAlign w:val="bottom"/>
          </w:tcPr>
          <w:p w14:paraId="53EC443B"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-0,6</w:t>
            </w:r>
          </w:p>
        </w:tc>
        <w:tc>
          <w:tcPr>
            <w:tcW w:w="851" w:type="dxa"/>
            <w:tcBorders>
              <w:top w:val="single" w:sz="2" w:space="0" w:color="auto"/>
              <w:left w:val="nil"/>
              <w:bottom w:val="single" w:sz="2" w:space="0" w:color="auto"/>
              <w:right w:val="nil"/>
            </w:tcBorders>
            <w:shd w:val="clear" w:color="auto" w:fill="D9D9D9"/>
            <w:noWrap/>
            <w:vAlign w:val="bottom"/>
          </w:tcPr>
          <w:p w14:paraId="2A026DAB" w14:textId="742DC982" w:rsidR="00FD66E9" w:rsidRPr="00ED7ABC" w:rsidRDefault="00FF462C" w:rsidP="00DA29F8">
            <w:pPr>
              <w:spacing w:after="0" w:line="240" w:lineRule="auto"/>
              <w:jc w:val="center"/>
              <w:rPr>
                <w:rFonts w:ascii="Arial Narrow" w:hAnsi="Arial Narrow" w:cs="Arial"/>
                <w:sz w:val="18"/>
                <w:szCs w:val="18"/>
              </w:rPr>
            </w:pPr>
            <w:r>
              <w:rPr>
                <w:rFonts w:ascii="Arial Narrow" w:hAnsi="Arial Narrow" w:cs="Arial"/>
                <w:color w:val="000000"/>
                <w:sz w:val="18"/>
                <w:szCs w:val="18"/>
              </w:rPr>
              <w:t>-0,</w:t>
            </w:r>
            <w:r w:rsidR="00DA29F8">
              <w:rPr>
                <w:rFonts w:ascii="Arial Narrow" w:hAnsi="Arial Narrow" w:cs="Arial"/>
                <w:color w:val="000000"/>
                <w:sz w:val="18"/>
                <w:szCs w:val="18"/>
              </w:rPr>
              <w:t>8</w:t>
            </w:r>
          </w:p>
        </w:tc>
        <w:tc>
          <w:tcPr>
            <w:tcW w:w="851" w:type="dxa"/>
            <w:tcBorders>
              <w:top w:val="single" w:sz="2" w:space="0" w:color="auto"/>
              <w:left w:val="nil"/>
              <w:bottom w:val="single" w:sz="2" w:space="0" w:color="auto"/>
              <w:right w:val="nil"/>
            </w:tcBorders>
            <w:shd w:val="clear" w:color="auto" w:fill="D9D9D9"/>
            <w:noWrap/>
            <w:vAlign w:val="bottom"/>
          </w:tcPr>
          <w:p w14:paraId="3A35F19E"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0,1</w:t>
            </w:r>
          </w:p>
        </w:tc>
      </w:tr>
      <w:tr w:rsidR="00FD66E9" w14:paraId="36FA0ECE" w14:textId="77777777" w:rsidTr="00F30A12">
        <w:trPr>
          <w:trHeight w:val="227"/>
        </w:trPr>
        <w:tc>
          <w:tcPr>
            <w:tcW w:w="5101" w:type="dxa"/>
            <w:tcBorders>
              <w:top w:val="single" w:sz="2" w:space="0" w:color="auto"/>
              <w:left w:val="nil"/>
              <w:bottom w:val="single" w:sz="2" w:space="0" w:color="auto"/>
              <w:right w:val="nil"/>
            </w:tcBorders>
            <w:shd w:val="clear" w:color="auto" w:fill="FFFFFF"/>
            <w:noWrap/>
            <w:vAlign w:val="bottom"/>
            <w:hideMark/>
          </w:tcPr>
          <w:p w14:paraId="396CFCAE" w14:textId="77777777" w:rsidR="00FD66E9" w:rsidRDefault="00FD66E9" w:rsidP="00FD66E9">
            <w:pPr>
              <w:pStyle w:val="053tabella-figuratesto"/>
              <w:jc w:val="left"/>
              <w:rPr>
                <w:lang w:eastAsia="it-IT"/>
              </w:rPr>
            </w:pPr>
            <w:r>
              <w:rPr>
                <w:lang w:eastAsia="it-IT"/>
              </w:rPr>
              <w:t>Deflatore della spesa delle famiglie residenti</w:t>
            </w:r>
          </w:p>
        </w:tc>
        <w:tc>
          <w:tcPr>
            <w:tcW w:w="851" w:type="dxa"/>
            <w:tcBorders>
              <w:top w:val="single" w:sz="2" w:space="0" w:color="auto"/>
              <w:left w:val="nil"/>
              <w:bottom w:val="single" w:sz="2" w:space="0" w:color="auto"/>
              <w:right w:val="nil"/>
            </w:tcBorders>
            <w:noWrap/>
            <w:vAlign w:val="bottom"/>
          </w:tcPr>
          <w:p w14:paraId="2526602D"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0,9</w:t>
            </w:r>
          </w:p>
        </w:tc>
        <w:tc>
          <w:tcPr>
            <w:tcW w:w="851" w:type="dxa"/>
            <w:tcBorders>
              <w:top w:val="single" w:sz="2" w:space="0" w:color="auto"/>
              <w:left w:val="nil"/>
              <w:bottom w:val="single" w:sz="2" w:space="0" w:color="auto"/>
              <w:right w:val="nil"/>
            </w:tcBorders>
            <w:noWrap/>
            <w:vAlign w:val="bottom"/>
          </w:tcPr>
          <w:p w14:paraId="4C446455"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0,5</w:t>
            </w:r>
          </w:p>
        </w:tc>
        <w:tc>
          <w:tcPr>
            <w:tcW w:w="851" w:type="dxa"/>
            <w:tcBorders>
              <w:top w:val="single" w:sz="2" w:space="0" w:color="auto"/>
              <w:left w:val="nil"/>
              <w:bottom w:val="single" w:sz="2" w:space="0" w:color="auto"/>
              <w:right w:val="nil"/>
            </w:tcBorders>
            <w:shd w:val="clear" w:color="auto" w:fill="D9D9D9"/>
            <w:noWrap/>
            <w:vAlign w:val="bottom"/>
          </w:tcPr>
          <w:p w14:paraId="76C9DD61" w14:textId="77777777" w:rsidR="00FD66E9" w:rsidRPr="00ED7ABC" w:rsidRDefault="00FD66E9" w:rsidP="00C84C32">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w:t>
            </w:r>
            <w:r w:rsidR="00C84C32">
              <w:rPr>
                <w:rFonts w:ascii="Arial Narrow" w:hAnsi="Arial Narrow" w:cs="Arial"/>
                <w:color w:val="000000"/>
                <w:sz w:val="18"/>
                <w:szCs w:val="18"/>
              </w:rPr>
              <w:t>3</w:t>
            </w:r>
          </w:p>
        </w:tc>
        <w:tc>
          <w:tcPr>
            <w:tcW w:w="851" w:type="dxa"/>
            <w:tcBorders>
              <w:top w:val="single" w:sz="2" w:space="0" w:color="auto"/>
              <w:left w:val="nil"/>
              <w:bottom w:val="single" w:sz="2" w:space="0" w:color="auto"/>
              <w:right w:val="nil"/>
            </w:tcBorders>
            <w:shd w:val="clear" w:color="auto" w:fill="D9D9D9"/>
            <w:noWrap/>
            <w:vAlign w:val="bottom"/>
          </w:tcPr>
          <w:p w14:paraId="393EBD89" w14:textId="77777777" w:rsidR="00FD66E9" w:rsidRPr="00ED7ABC" w:rsidRDefault="00FD66E9" w:rsidP="00C84C32">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w:t>
            </w:r>
            <w:r w:rsidR="00C84C32">
              <w:rPr>
                <w:rFonts w:ascii="Arial Narrow" w:hAnsi="Arial Narrow" w:cs="Arial"/>
                <w:color w:val="000000"/>
                <w:sz w:val="18"/>
                <w:szCs w:val="18"/>
              </w:rPr>
              <w:t>7</w:t>
            </w:r>
          </w:p>
        </w:tc>
      </w:tr>
      <w:tr w:rsidR="00FD66E9" w14:paraId="7272DA20" w14:textId="77777777" w:rsidTr="00F30A12">
        <w:trPr>
          <w:trHeight w:val="227"/>
        </w:trPr>
        <w:tc>
          <w:tcPr>
            <w:tcW w:w="5101" w:type="dxa"/>
            <w:tcBorders>
              <w:top w:val="single" w:sz="2" w:space="0" w:color="auto"/>
              <w:left w:val="nil"/>
              <w:bottom w:val="single" w:sz="2" w:space="0" w:color="auto"/>
              <w:right w:val="nil"/>
            </w:tcBorders>
            <w:noWrap/>
            <w:vAlign w:val="bottom"/>
            <w:hideMark/>
          </w:tcPr>
          <w:p w14:paraId="3216CD1A" w14:textId="77777777" w:rsidR="00FD66E9" w:rsidRDefault="00FD66E9" w:rsidP="00FD66E9">
            <w:pPr>
              <w:pStyle w:val="053tabella-figuratesto"/>
              <w:jc w:val="left"/>
              <w:rPr>
                <w:lang w:eastAsia="it-IT"/>
              </w:rPr>
            </w:pPr>
            <w:r>
              <w:rPr>
                <w:lang w:eastAsia="it-IT"/>
              </w:rPr>
              <w:t>Deflatore del prodotto interno lordo</w:t>
            </w:r>
          </w:p>
        </w:tc>
        <w:tc>
          <w:tcPr>
            <w:tcW w:w="851" w:type="dxa"/>
            <w:tcBorders>
              <w:top w:val="single" w:sz="2" w:space="0" w:color="auto"/>
              <w:left w:val="nil"/>
              <w:bottom w:val="single" w:sz="2" w:space="0" w:color="auto"/>
              <w:right w:val="nil"/>
            </w:tcBorders>
            <w:noWrap/>
            <w:vAlign w:val="bottom"/>
          </w:tcPr>
          <w:p w14:paraId="2FC7373D"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0,9</w:t>
            </w:r>
          </w:p>
        </w:tc>
        <w:tc>
          <w:tcPr>
            <w:tcW w:w="851" w:type="dxa"/>
            <w:tcBorders>
              <w:top w:val="single" w:sz="2" w:space="0" w:color="auto"/>
              <w:left w:val="nil"/>
              <w:bottom w:val="single" w:sz="2" w:space="0" w:color="auto"/>
              <w:right w:val="nil"/>
            </w:tcBorders>
            <w:noWrap/>
            <w:vAlign w:val="bottom"/>
          </w:tcPr>
          <w:p w14:paraId="089EDC01"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0,9</w:t>
            </w:r>
          </w:p>
        </w:tc>
        <w:tc>
          <w:tcPr>
            <w:tcW w:w="851" w:type="dxa"/>
            <w:tcBorders>
              <w:top w:val="single" w:sz="2" w:space="0" w:color="auto"/>
              <w:left w:val="nil"/>
              <w:bottom w:val="single" w:sz="2" w:space="0" w:color="auto"/>
              <w:right w:val="nil"/>
            </w:tcBorders>
            <w:shd w:val="clear" w:color="auto" w:fill="D9D9D9"/>
            <w:noWrap/>
            <w:vAlign w:val="bottom"/>
          </w:tcPr>
          <w:p w14:paraId="516AD8B8" w14:textId="77777777" w:rsidR="00FD66E9" w:rsidRPr="00ED7ABC" w:rsidRDefault="00FF462C" w:rsidP="00FD66E9">
            <w:pPr>
              <w:spacing w:after="0" w:line="240" w:lineRule="auto"/>
              <w:jc w:val="center"/>
              <w:rPr>
                <w:rFonts w:ascii="Arial Narrow" w:hAnsi="Arial Narrow" w:cs="Arial"/>
                <w:sz w:val="18"/>
                <w:szCs w:val="18"/>
              </w:rPr>
            </w:pPr>
            <w:r>
              <w:rPr>
                <w:rFonts w:ascii="Arial Narrow" w:hAnsi="Arial Narrow" w:cs="Arial"/>
                <w:color w:val="000000"/>
                <w:sz w:val="18"/>
                <w:szCs w:val="18"/>
              </w:rPr>
              <w:t>0,5</w:t>
            </w:r>
          </w:p>
        </w:tc>
        <w:tc>
          <w:tcPr>
            <w:tcW w:w="851" w:type="dxa"/>
            <w:tcBorders>
              <w:top w:val="single" w:sz="2" w:space="0" w:color="auto"/>
              <w:left w:val="nil"/>
              <w:bottom w:val="single" w:sz="2" w:space="0" w:color="auto"/>
              <w:right w:val="nil"/>
            </w:tcBorders>
            <w:shd w:val="clear" w:color="auto" w:fill="D9D9D9"/>
            <w:noWrap/>
            <w:vAlign w:val="bottom"/>
          </w:tcPr>
          <w:p w14:paraId="0B08FA31" w14:textId="77777777" w:rsidR="00FD66E9" w:rsidRPr="00ED7ABC" w:rsidRDefault="00FD66E9" w:rsidP="00FF462C">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w:t>
            </w:r>
            <w:r w:rsidR="00FF462C">
              <w:rPr>
                <w:rFonts w:ascii="Arial Narrow" w:hAnsi="Arial Narrow" w:cs="Arial"/>
                <w:color w:val="000000"/>
                <w:sz w:val="18"/>
                <w:szCs w:val="18"/>
              </w:rPr>
              <w:t>9</w:t>
            </w:r>
          </w:p>
        </w:tc>
      </w:tr>
      <w:tr w:rsidR="00FD66E9" w14:paraId="0552AD91" w14:textId="77777777" w:rsidTr="00F30A12">
        <w:trPr>
          <w:trHeight w:val="227"/>
        </w:trPr>
        <w:tc>
          <w:tcPr>
            <w:tcW w:w="5101" w:type="dxa"/>
            <w:tcBorders>
              <w:top w:val="single" w:sz="2" w:space="0" w:color="auto"/>
              <w:left w:val="nil"/>
              <w:bottom w:val="single" w:sz="2" w:space="0" w:color="auto"/>
              <w:right w:val="nil"/>
            </w:tcBorders>
            <w:noWrap/>
            <w:vAlign w:val="bottom"/>
            <w:hideMark/>
          </w:tcPr>
          <w:p w14:paraId="3B2703E6" w14:textId="77777777" w:rsidR="00FD66E9" w:rsidRDefault="00FD66E9" w:rsidP="00FD66E9">
            <w:pPr>
              <w:pStyle w:val="053tabella-figuratesto"/>
              <w:jc w:val="left"/>
              <w:rPr>
                <w:lang w:eastAsia="it-IT"/>
              </w:rPr>
            </w:pPr>
            <w:r>
              <w:rPr>
                <w:lang w:eastAsia="it-IT"/>
              </w:rPr>
              <w:t>Retribuzioni lorde per unità di lavoro dipendente</w:t>
            </w:r>
          </w:p>
        </w:tc>
        <w:tc>
          <w:tcPr>
            <w:tcW w:w="851" w:type="dxa"/>
            <w:tcBorders>
              <w:top w:val="single" w:sz="2" w:space="0" w:color="auto"/>
              <w:left w:val="nil"/>
              <w:bottom w:val="single" w:sz="2" w:space="0" w:color="auto"/>
              <w:right w:val="nil"/>
            </w:tcBorders>
            <w:noWrap/>
            <w:vAlign w:val="bottom"/>
          </w:tcPr>
          <w:p w14:paraId="62CD5536"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1,7</w:t>
            </w:r>
          </w:p>
        </w:tc>
        <w:tc>
          <w:tcPr>
            <w:tcW w:w="851" w:type="dxa"/>
            <w:tcBorders>
              <w:top w:val="single" w:sz="2" w:space="0" w:color="auto"/>
              <w:left w:val="nil"/>
              <w:bottom w:val="single" w:sz="2" w:space="0" w:color="auto"/>
              <w:right w:val="nil"/>
            </w:tcBorders>
            <w:noWrap/>
            <w:vAlign w:val="bottom"/>
          </w:tcPr>
          <w:p w14:paraId="7A4ADD78"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1,3</w:t>
            </w:r>
          </w:p>
        </w:tc>
        <w:tc>
          <w:tcPr>
            <w:tcW w:w="851" w:type="dxa"/>
            <w:tcBorders>
              <w:top w:val="single" w:sz="2" w:space="0" w:color="auto"/>
              <w:left w:val="nil"/>
              <w:bottom w:val="single" w:sz="2" w:space="0" w:color="auto"/>
              <w:right w:val="nil"/>
            </w:tcBorders>
            <w:shd w:val="clear" w:color="auto" w:fill="D9D9D9"/>
            <w:noWrap/>
            <w:vAlign w:val="bottom"/>
          </w:tcPr>
          <w:p w14:paraId="251F312B" w14:textId="77777777" w:rsidR="00FD66E9" w:rsidRPr="00ED7ABC" w:rsidRDefault="00C84C32" w:rsidP="00FD66E9">
            <w:pPr>
              <w:spacing w:after="0" w:line="240" w:lineRule="auto"/>
              <w:jc w:val="center"/>
              <w:rPr>
                <w:rFonts w:ascii="Arial Narrow" w:hAnsi="Arial Narrow" w:cs="Arial"/>
                <w:sz w:val="18"/>
                <w:szCs w:val="18"/>
              </w:rPr>
            </w:pPr>
            <w:r>
              <w:rPr>
                <w:rFonts w:ascii="Arial Narrow" w:hAnsi="Arial Narrow" w:cs="Arial"/>
                <w:color w:val="000000"/>
                <w:sz w:val="18"/>
                <w:szCs w:val="18"/>
              </w:rPr>
              <w:t>-0,7</w:t>
            </w:r>
          </w:p>
        </w:tc>
        <w:tc>
          <w:tcPr>
            <w:tcW w:w="851" w:type="dxa"/>
            <w:tcBorders>
              <w:top w:val="single" w:sz="2" w:space="0" w:color="auto"/>
              <w:left w:val="nil"/>
              <w:bottom w:val="single" w:sz="2" w:space="0" w:color="auto"/>
              <w:right w:val="nil"/>
            </w:tcBorders>
            <w:shd w:val="clear" w:color="auto" w:fill="D9D9D9"/>
            <w:noWrap/>
            <w:vAlign w:val="bottom"/>
          </w:tcPr>
          <w:p w14:paraId="38ADF9BE" w14:textId="77777777" w:rsidR="00FD66E9" w:rsidRPr="00ED7ABC" w:rsidRDefault="00FD66E9" w:rsidP="00C84C32">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w:t>
            </w:r>
            <w:r w:rsidR="00C84C32">
              <w:rPr>
                <w:rFonts w:ascii="Arial Narrow" w:hAnsi="Arial Narrow" w:cs="Arial"/>
                <w:color w:val="000000"/>
                <w:sz w:val="18"/>
                <w:szCs w:val="18"/>
              </w:rPr>
              <w:t>4</w:t>
            </w:r>
          </w:p>
        </w:tc>
      </w:tr>
      <w:tr w:rsidR="00FD66E9" w14:paraId="23A9A69D" w14:textId="77777777" w:rsidTr="00F30A12">
        <w:trPr>
          <w:trHeight w:val="227"/>
        </w:trPr>
        <w:tc>
          <w:tcPr>
            <w:tcW w:w="5101" w:type="dxa"/>
            <w:tcBorders>
              <w:top w:val="single" w:sz="2" w:space="0" w:color="auto"/>
              <w:left w:val="nil"/>
              <w:bottom w:val="single" w:sz="2" w:space="0" w:color="auto"/>
              <w:right w:val="nil"/>
            </w:tcBorders>
            <w:noWrap/>
            <w:vAlign w:val="bottom"/>
            <w:hideMark/>
          </w:tcPr>
          <w:p w14:paraId="4FD9485A" w14:textId="77777777" w:rsidR="00FD66E9" w:rsidRDefault="00FD66E9" w:rsidP="00FD66E9">
            <w:pPr>
              <w:pStyle w:val="053tabella-figuratesto"/>
              <w:jc w:val="left"/>
              <w:rPr>
                <w:lang w:eastAsia="it-IT"/>
              </w:rPr>
            </w:pPr>
            <w:r>
              <w:rPr>
                <w:lang w:eastAsia="it-IT"/>
              </w:rPr>
              <w:t xml:space="preserve">Unità di lavoro </w:t>
            </w:r>
          </w:p>
        </w:tc>
        <w:tc>
          <w:tcPr>
            <w:tcW w:w="851" w:type="dxa"/>
            <w:tcBorders>
              <w:top w:val="single" w:sz="2" w:space="0" w:color="auto"/>
              <w:left w:val="nil"/>
              <w:bottom w:val="single" w:sz="2" w:space="0" w:color="auto"/>
              <w:right w:val="nil"/>
            </w:tcBorders>
            <w:noWrap/>
            <w:vAlign w:val="bottom"/>
          </w:tcPr>
          <w:p w14:paraId="5DB972C5"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0,8</w:t>
            </w:r>
          </w:p>
        </w:tc>
        <w:tc>
          <w:tcPr>
            <w:tcW w:w="851" w:type="dxa"/>
            <w:tcBorders>
              <w:top w:val="single" w:sz="2" w:space="0" w:color="auto"/>
              <w:left w:val="nil"/>
              <w:bottom w:val="single" w:sz="2" w:space="0" w:color="auto"/>
              <w:right w:val="nil"/>
            </w:tcBorders>
            <w:noWrap/>
            <w:vAlign w:val="bottom"/>
          </w:tcPr>
          <w:p w14:paraId="2E74D3BF"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0,3</w:t>
            </w:r>
          </w:p>
        </w:tc>
        <w:tc>
          <w:tcPr>
            <w:tcW w:w="851" w:type="dxa"/>
            <w:tcBorders>
              <w:top w:val="single" w:sz="2" w:space="0" w:color="auto"/>
              <w:left w:val="nil"/>
              <w:bottom w:val="single" w:sz="2" w:space="0" w:color="auto"/>
              <w:right w:val="nil"/>
            </w:tcBorders>
            <w:shd w:val="clear" w:color="auto" w:fill="D9D9D9"/>
            <w:noWrap/>
            <w:vAlign w:val="bottom"/>
          </w:tcPr>
          <w:p w14:paraId="52EC1A9B" w14:textId="77777777" w:rsidR="00FD66E9" w:rsidRPr="00ED7ABC" w:rsidRDefault="00C84C32" w:rsidP="00FD66E9">
            <w:pPr>
              <w:spacing w:after="0" w:line="240" w:lineRule="auto"/>
              <w:jc w:val="center"/>
              <w:rPr>
                <w:rFonts w:ascii="Arial Narrow" w:hAnsi="Arial Narrow" w:cs="Arial"/>
                <w:sz w:val="18"/>
                <w:szCs w:val="18"/>
              </w:rPr>
            </w:pPr>
            <w:r>
              <w:rPr>
                <w:rFonts w:ascii="Arial Narrow" w:hAnsi="Arial Narrow" w:cs="Arial"/>
                <w:color w:val="000000"/>
                <w:sz w:val="18"/>
                <w:szCs w:val="18"/>
              </w:rPr>
              <w:t>-9,3</w:t>
            </w:r>
          </w:p>
        </w:tc>
        <w:tc>
          <w:tcPr>
            <w:tcW w:w="851" w:type="dxa"/>
            <w:tcBorders>
              <w:top w:val="single" w:sz="2" w:space="0" w:color="auto"/>
              <w:left w:val="nil"/>
              <w:bottom w:val="single" w:sz="2" w:space="0" w:color="auto"/>
              <w:right w:val="nil"/>
            </w:tcBorders>
            <w:shd w:val="clear" w:color="auto" w:fill="D9D9D9"/>
            <w:noWrap/>
            <w:vAlign w:val="bottom"/>
          </w:tcPr>
          <w:p w14:paraId="46C58C71"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4,1</w:t>
            </w:r>
          </w:p>
        </w:tc>
      </w:tr>
      <w:tr w:rsidR="00FD66E9" w14:paraId="54F7EFD3" w14:textId="77777777" w:rsidTr="00F30A12">
        <w:trPr>
          <w:trHeight w:val="227"/>
        </w:trPr>
        <w:tc>
          <w:tcPr>
            <w:tcW w:w="5101" w:type="dxa"/>
            <w:tcBorders>
              <w:top w:val="single" w:sz="2" w:space="0" w:color="auto"/>
              <w:left w:val="nil"/>
              <w:bottom w:val="single" w:sz="2" w:space="0" w:color="auto"/>
              <w:right w:val="nil"/>
            </w:tcBorders>
            <w:noWrap/>
            <w:vAlign w:val="bottom"/>
            <w:hideMark/>
          </w:tcPr>
          <w:p w14:paraId="3E69AD87" w14:textId="77777777" w:rsidR="00FD66E9" w:rsidRDefault="00FD66E9" w:rsidP="00FD66E9">
            <w:pPr>
              <w:pStyle w:val="053tabella-figuratesto"/>
              <w:jc w:val="left"/>
              <w:rPr>
                <w:lang w:eastAsia="it-IT"/>
              </w:rPr>
            </w:pPr>
            <w:r>
              <w:rPr>
                <w:lang w:eastAsia="it-IT"/>
              </w:rPr>
              <w:t>Tasso di disoccupazione</w:t>
            </w:r>
          </w:p>
        </w:tc>
        <w:tc>
          <w:tcPr>
            <w:tcW w:w="851" w:type="dxa"/>
            <w:tcBorders>
              <w:top w:val="single" w:sz="2" w:space="0" w:color="auto"/>
              <w:left w:val="nil"/>
              <w:bottom w:val="single" w:sz="2" w:space="0" w:color="auto"/>
              <w:right w:val="nil"/>
            </w:tcBorders>
            <w:noWrap/>
            <w:vAlign w:val="bottom"/>
          </w:tcPr>
          <w:p w14:paraId="7732DB5F"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10,6</w:t>
            </w:r>
          </w:p>
        </w:tc>
        <w:tc>
          <w:tcPr>
            <w:tcW w:w="851" w:type="dxa"/>
            <w:tcBorders>
              <w:top w:val="single" w:sz="2" w:space="0" w:color="auto"/>
              <w:left w:val="nil"/>
              <w:bottom w:val="single" w:sz="2" w:space="0" w:color="auto"/>
              <w:right w:val="nil"/>
            </w:tcBorders>
            <w:noWrap/>
            <w:vAlign w:val="bottom"/>
          </w:tcPr>
          <w:p w14:paraId="7516C8B7" w14:textId="77777777" w:rsidR="00FD66E9" w:rsidRPr="00ED7ABC" w:rsidRDefault="00FD66E9" w:rsidP="00FD66E9">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10</w:t>
            </w:r>
          </w:p>
        </w:tc>
        <w:tc>
          <w:tcPr>
            <w:tcW w:w="851" w:type="dxa"/>
            <w:tcBorders>
              <w:top w:val="single" w:sz="2" w:space="0" w:color="auto"/>
              <w:left w:val="nil"/>
              <w:bottom w:val="single" w:sz="2" w:space="0" w:color="auto"/>
              <w:right w:val="nil"/>
            </w:tcBorders>
            <w:shd w:val="clear" w:color="auto" w:fill="D9D9D9"/>
            <w:noWrap/>
            <w:vAlign w:val="bottom"/>
          </w:tcPr>
          <w:p w14:paraId="061F0267" w14:textId="77777777" w:rsidR="00FD66E9" w:rsidRPr="00ED7ABC" w:rsidRDefault="00C84C32" w:rsidP="00FD66E9">
            <w:pPr>
              <w:spacing w:after="0" w:line="240" w:lineRule="auto"/>
              <w:jc w:val="center"/>
              <w:rPr>
                <w:rFonts w:ascii="Arial Narrow" w:hAnsi="Arial Narrow" w:cs="Arial"/>
                <w:sz w:val="18"/>
                <w:szCs w:val="18"/>
              </w:rPr>
            </w:pPr>
            <w:r>
              <w:rPr>
                <w:rFonts w:ascii="Arial Narrow" w:hAnsi="Arial Narrow" w:cs="Arial"/>
                <w:color w:val="000000"/>
                <w:sz w:val="18"/>
                <w:szCs w:val="18"/>
              </w:rPr>
              <w:t>9,6</w:t>
            </w:r>
          </w:p>
        </w:tc>
        <w:tc>
          <w:tcPr>
            <w:tcW w:w="851" w:type="dxa"/>
            <w:tcBorders>
              <w:top w:val="single" w:sz="2" w:space="0" w:color="auto"/>
              <w:left w:val="nil"/>
              <w:bottom w:val="single" w:sz="2" w:space="0" w:color="auto"/>
              <w:right w:val="nil"/>
            </w:tcBorders>
            <w:shd w:val="clear" w:color="auto" w:fill="D9D9D9"/>
            <w:noWrap/>
            <w:vAlign w:val="bottom"/>
          </w:tcPr>
          <w:p w14:paraId="6EABEEE0" w14:textId="77777777" w:rsidR="00FD66E9" w:rsidRPr="00ED7ABC" w:rsidRDefault="00FD66E9" w:rsidP="00C84C32">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10,</w:t>
            </w:r>
            <w:r w:rsidR="00C84C32">
              <w:rPr>
                <w:rFonts w:ascii="Arial Narrow" w:hAnsi="Arial Narrow" w:cs="Arial"/>
                <w:color w:val="000000"/>
                <w:sz w:val="18"/>
                <w:szCs w:val="18"/>
              </w:rPr>
              <w:t>2</w:t>
            </w:r>
          </w:p>
        </w:tc>
      </w:tr>
      <w:tr w:rsidR="00D53244" w14:paraId="06329A8D" w14:textId="77777777" w:rsidTr="00F30A12">
        <w:trPr>
          <w:trHeight w:val="227"/>
        </w:trPr>
        <w:tc>
          <w:tcPr>
            <w:tcW w:w="5101" w:type="dxa"/>
            <w:tcBorders>
              <w:top w:val="single" w:sz="2" w:space="0" w:color="auto"/>
              <w:left w:val="nil"/>
              <w:bottom w:val="single" w:sz="4" w:space="0" w:color="auto"/>
              <w:right w:val="nil"/>
            </w:tcBorders>
            <w:shd w:val="clear" w:color="auto" w:fill="FFFFFF"/>
            <w:noWrap/>
            <w:vAlign w:val="bottom"/>
            <w:hideMark/>
          </w:tcPr>
          <w:p w14:paraId="46B85395" w14:textId="77777777" w:rsidR="00D53244" w:rsidRDefault="00D53244" w:rsidP="00D53244">
            <w:pPr>
              <w:pStyle w:val="053tabella-figuratesto"/>
              <w:jc w:val="left"/>
              <w:rPr>
                <w:lang w:eastAsia="it-IT"/>
              </w:rPr>
            </w:pPr>
            <w:r>
              <w:rPr>
                <w:lang w:eastAsia="it-IT"/>
              </w:rPr>
              <w:t xml:space="preserve">Saldo della bilancia </w:t>
            </w:r>
            <w:r w:rsidRPr="00965D8C">
              <w:rPr>
                <w:lang w:eastAsia="it-IT"/>
              </w:rPr>
              <w:t>dei beni e servizi</w:t>
            </w:r>
            <w:r>
              <w:rPr>
                <w:lang w:eastAsia="it-IT"/>
              </w:rPr>
              <w:t xml:space="preserve"> / Pil (%)</w:t>
            </w:r>
          </w:p>
        </w:tc>
        <w:tc>
          <w:tcPr>
            <w:tcW w:w="851" w:type="dxa"/>
            <w:tcBorders>
              <w:top w:val="single" w:sz="2" w:space="0" w:color="auto"/>
              <w:left w:val="nil"/>
              <w:bottom w:val="single" w:sz="4" w:space="0" w:color="auto"/>
              <w:right w:val="nil"/>
            </w:tcBorders>
            <w:noWrap/>
            <w:vAlign w:val="bottom"/>
          </w:tcPr>
          <w:p w14:paraId="286B647B" w14:textId="77777777" w:rsidR="00D53244" w:rsidRPr="00ED7ABC" w:rsidRDefault="00D53244" w:rsidP="00D53244">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2,4</w:t>
            </w:r>
          </w:p>
        </w:tc>
        <w:tc>
          <w:tcPr>
            <w:tcW w:w="851" w:type="dxa"/>
            <w:tcBorders>
              <w:top w:val="single" w:sz="2" w:space="0" w:color="auto"/>
              <w:left w:val="nil"/>
              <w:bottom w:val="single" w:sz="4" w:space="0" w:color="auto"/>
              <w:right w:val="nil"/>
            </w:tcBorders>
            <w:noWrap/>
            <w:vAlign w:val="bottom"/>
          </w:tcPr>
          <w:p w14:paraId="3AFA84FF" w14:textId="77777777" w:rsidR="00D53244" w:rsidRPr="00ED7ABC" w:rsidRDefault="00D53244" w:rsidP="00D53244">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3,1</w:t>
            </w:r>
          </w:p>
        </w:tc>
        <w:tc>
          <w:tcPr>
            <w:tcW w:w="851" w:type="dxa"/>
            <w:tcBorders>
              <w:top w:val="single" w:sz="2" w:space="0" w:color="auto"/>
              <w:left w:val="nil"/>
              <w:bottom w:val="single" w:sz="4" w:space="0" w:color="auto"/>
              <w:right w:val="nil"/>
            </w:tcBorders>
            <w:shd w:val="clear" w:color="auto" w:fill="D9D9D9"/>
            <w:noWrap/>
            <w:vAlign w:val="bottom"/>
          </w:tcPr>
          <w:p w14:paraId="37CCFAF6" w14:textId="77777777" w:rsidR="00D53244" w:rsidRPr="00ED7ABC" w:rsidRDefault="00D53244" w:rsidP="00D53244">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3,3</w:t>
            </w:r>
          </w:p>
        </w:tc>
        <w:tc>
          <w:tcPr>
            <w:tcW w:w="851" w:type="dxa"/>
            <w:tcBorders>
              <w:top w:val="single" w:sz="2" w:space="0" w:color="auto"/>
              <w:left w:val="nil"/>
              <w:bottom w:val="single" w:sz="4" w:space="0" w:color="auto"/>
              <w:right w:val="nil"/>
            </w:tcBorders>
            <w:shd w:val="clear" w:color="auto" w:fill="D9D9D9"/>
            <w:noWrap/>
            <w:vAlign w:val="bottom"/>
          </w:tcPr>
          <w:p w14:paraId="4DC47E6B" w14:textId="77777777" w:rsidR="00D53244" w:rsidRPr="00ED7ABC" w:rsidRDefault="00D53244" w:rsidP="00D53244">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3,8</w:t>
            </w:r>
          </w:p>
        </w:tc>
      </w:tr>
    </w:tbl>
    <w:p w14:paraId="5E5FD83B" w14:textId="77777777" w:rsidR="00D00A29" w:rsidRDefault="00D00A29" w:rsidP="00BA5651">
      <w:pPr>
        <w:pStyle w:val="012titoloparagrafo"/>
      </w:pPr>
      <w:r w:rsidRPr="00BA5651">
        <w:t>Il quadro internazionale</w:t>
      </w:r>
      <w:r w:rsidR="00C45516">
        <w:t xml:space="preserve"> </w:t>
      </w:r>
    </w:p>
    <w:p w14:paraId="1DF73470" w14:textId="4C0257D1" w:rsidR="003060DE" w:rsidRPr="003060DE" w:rsidRDefault="00C466CF" w:rsidP="00E65031">
      <w:pPr>
        <w:pStyle w:val="013titolosottoparagrafo"/>
        <w:jc w:val="both"/>
      </w:pPr>
      <w:r w:rsidRPr="00C466CF">
        <w:t>Lo scenario</w:t>
      </w:r>
      <w:r w:rsidR="00E65031">
        <w:t xml:space="preserve"> globale</w:t>
      </w:r>
      <w:r w:rsidRPr="00C466CF">
        <w:t xml:space="preserve"> è </w:t>
      </w:r>
      <w:r w:rsidR="00CF7E38">
        <w:t>dominato dagli effetti negativi della</w:t>
      </w:r>
      <w:r w:rsidR="00E65031">
        <w:t xml:space="preserve"> pandemia</w:t>
      </w:r>
    </w:p>
    <w:p w14:paraId="2FA380D5" w14:textId="0C175A79" w:rsidR="00BC6EDB" w:rsidRDefault="00B84799" w:rsidP="00BC6EDB">
      <w:pPr>
        <w:pStyle w:val="01testo"/>
      </w:pPr>
      <w:r>
        <w:t>Nella prima parte dell’anno</w:t>
      </w:r>
      <w:r w:rsidR="001F36D7">
        <w:t>,</w:t>
      </w:r>
      <w:r w:rsidR="003060DE">
        <w:t xml:space="preserve"> il ciclo</w:t>
      </w:r>
      <w:r w:rsidR="001F36D7">
        <w:t xml:space="preserve"> economico</w:t>
      </w:r>
      <w:r w:rsidR="003060DE">
        <w:t xml:space="preserve"> internazionale </w:t>
      </w:r>
      <w:r>
        <w:t xml:space="preserve">è stato caratterizzato </w:t>
      </w:r>
      <w:r w:rsidR="00A11126">
        <w:t xml:space="preserve">quasi esclusivamente </w:t>
      </w:r>
      <w:r>
        <w:t xml:space="preserve">dagli effetti delle misure di contenimento legate alla diffusione della pandemia di COVID-19. Il commercio mondiale ha </w:t>
      </w:r>
      <w:r w:rsidR="00126D21">
        <w:t>registrato un crollo</w:t>
      </w:r>
      <w:r>
        <w:t xml:space="preserve"> </w:t>
      </w:r>
      <w:r w:rsidR="003060DE" w:rsidRPr="0030627B">
        <w:t>(</w:t>
      </w:r>
      <w:r>
        <w:t>-11</w:t>
      </w:r>
      <w:r w:rsidR="006C5A0F">
        <w:t>,0</w:t>
      </w:r>
      <w:r>
        <w:t xml:space="preserve">% la flessione delle </w:t>
      </w:r>
      <w:r w:rsidR="003060DE" w:rsidRPr="0030627B">
        <w:t>importazioni di beni e servizi in volume previst</w:t>
      </w:r>
      <w:r>
        <w:t>a</w:t>
      </w:r>
      <w:r w:rsidR="003060DE" w:rsidRPr="0030627B">
        <w:t xml:space="preserve"> dalla Commissione europea per il 20</w:t>
      </w:r>
      <w:r>
        <w:t>20</w:t>
      </w:r>
      <w:r w:rsidR="003060DE" w:rsidRPr="0030627B">
        <w:t>, Prospetto 2)</w:t>
      </w:r>
      <w:r w:rsidR="00E65031">
        <w:t xml:space="preserve"> e le prospettive per i prossimi mesi </w:t>
      </w:r>
      <w:r w:rsidR="00126D21">
        <w:t>segnalano diverse difficoltà nella ripresa degli scambi</w:t>
      </w:r>
      <w:r w:rsidR="003060DE" w:rsidRPr="0030627B">
        <w:t>.</w:t>
      </w:r>
      <w:r w:rsidR="003060DE">
        <w:t xml:space="preserve"> </w:t>
      </w:r>
    </w:p>
    <w:p w14:paraId="2E92448C" w14:textId="0EA20C2B" w:rsidR="00BC6EDB" w:rsidRPr="00BC6EDB" w:rsidRDefault="00BC6EDB" w:rsidP="00BC6EDB">
      <w:pPr>
        <w:pStyle w:val="01testo"/>
        <w:rPr>
          <w:rFonts w:cs="Calibri"/>
          <w:spacing w:val="2"/>
        </w:rPr>
      </w:pPr>
      <w:r>
        <w:rPr>
          <w:rFonts w:cs="Calibri"/>
          <w:spacing w:val="2"/>
        </w:rPr>
        <w:t>La congiuntura internazionale,</w:t>
      </w:r>
      <w:r w:rsidR="00281E3B">
        <w:rPr>
          <w:rFonts w:cs="Calibri"/>
          <w:spacing w:val="2"/>
        </w:rPr>
        <w:t xml:space="preserve"> nonostante l’implementazione</w:t>
      </w:r>
      <w:r w:rsidR="00281E3B">
        <w:t xml:space="preserve"> tempestiva di ingenti misure a sostegno dei redditi di famiglie e imprese</w:t>
      </w:r>
      <w:r w:rsidR="00E65031">
        <w:t>,</w:t>
      </w:r>
      <w:r w:rsidR="00281E3B">
        <w:t xml:space="preserve"> </w:t>
      </w:r>
      <w:r w:rsidR="00A11126">
        <w:t>si presenta</w:t>
      </w:r>
      <w:r w:rsidR="00281E3B">
        <w:t xml:space="preserve"> eccezionalmente negativa</w:t>
      </w:r>
      <w:r w:rsidR="00647E2C">
        <w:t xml:space="preserve">. I rischi </w:t>
      </w:r>
      <w:r w:rsidR="00647E2C">
        <w:rPr>
          <w:rFonts w:cs="Calibri"/>
          <w:spacing w:val="2"/>
        </w:rPr>
        <w:t xml:space="preserve">associati allo scenario </w:t>
      </w:r>
      <w:r w:rsidR="006C5A0F">
        <w:rPr>
          <w:rFonts w:cs="Calibri"/>
          <w:spacing w:val="2"/>
        </w:rPr>
        <w:t xml:space="preserve">presentato </w:t>
      </w:r>
      <w:r w:rsidR="00647E2C">
        <w:rPr>
          <w:rFonts w:cs="Calibri"/>
          <w:spacing w:val="2"/>
        </w:rPr>
        <w:t>sono</w:t>
      </w:r>
      <w:r>
        <w:rPr>
          <w:rFonts w:cs="Calibri"/>
          <w:spacing w:val="2"/>
        </w:rPr>
        <w:t xml:space="preserve"> </w:t>
      </w:r>
      <w:r w:rsidR="006C5A0F">
        <w:rPr>
          <w:rFonts w:cs="Calibri"/>
          <w:spacing w:val="2"/>
        </w:rPr>
        <w:t xml:space="preserve">prevalentemente </w:t>
      </w:r>
      <w:r>
        <w:rPr>
          <w:rFonts w:cs="Calibri"/>
          <w:spacing w:val="2"/>
        </w:rPr>
        <w:t>al ribasso</w:t>
      </w:r>
      <w:r w:rsidR="006C5A0F">
        <w:rPr>
          <w:rFonts w:cs="Calibri"/>
          <w:spacing w:val="2"/>
        </w:rPr>
        <w:t>,</w:t>
      </w:r>
      <w:r w:rsidR="00281E3B">
        <w:rPr>
          <w:rFonts w:cs="Calibri"/>
          <w:spacing w:val="2"/>
        </w:rPr>
        <w:t xml:space="preserve"> legati all’incertezza sull’evoluzione dell</w:t>
      </w:r>
      <w:r w:rsidR="00E65031">
        <w:rPr>
          <w:rFonts w:cs="Calibri"/>
          <w:spacing w:val="2"/>
        </w:rPr>
        <w:t>’emergenza sanitaria</w:t>
      </w:r>
      <w:r w:rsidR="00647E2C">
        <w:rPr>
          <w:rFonts w:cs="Calibri"/>
          <w:spacing w:val="2"/>
        </w:rPr>
        <w:t xml:space="preserve"> e sulla resilienza dei sistemi economici</w:t>
      </w:r>
      <w:r w:rsidR="00281E3B">
        <w:rPr>
          <w:rFonts w:cs="Calibri"/>
          <w:spacing w:val="2"/>
        </w:rPr>
        <w:t>.</w:t>
      </w:r>
    </w:p>
    <w:p w14:paraId="3C5C682E" w14:textId="7E0A4F62" w:rsidR="003060DE" w:rsidRDefault="003060DE" w:rsidP="003060DE">
      <w:pPr>
        <w:pStyle w:val="01testo"/>
      </w:pPr>
      <w:r w:rsidRPr="00A20446">
        <w:t xml:space="preserve">Le previsioni </w:t>
      </w:r>
      <w:r>
        <w:t xml:space="preserve">della Commissione europea </w:t>
      </w:r>
      <w:r w:rsidRPr="00A20446">
        <w:t xml:space="preserve">indicano </w:t>
      </w:r>
      <w:r w:rsidR="00281E3B">
        <w:t xml:space="preserve">per quest’anno </w:t>
      </w:r>
      <w:r w:rsidRPr="00A20446">
        <w:t>un</w:t>
      </w:r>
      <w:r w:rsidR="00A214A6">
        <w:t>a riduzione</w:t>
      </w:r>
      <w:r w:rsidRPr="00A20446">
        <w:t xml:space="preserve"> del</w:t>
      </w:r>
      <w:r w:rsidR="007D0F23">
        <w:t>la dinamica del</w:t>
      </w:r>
      <w:r w:rsidRPr="00A20446">
        <w:t xml:space="preserve"> Pil </w:t>
      </w:r>
      <w:r w:rsidR="004B13B6">
        <w:t xml:space="preserve">globale in termini </w:t>
      </w:r>
      <w:r w:rsidRPr="00A20446">
        <w:t>real</w:t>
      </w:r>
      <w:r w:rsidR="004B13B6">
        <w:t>i</w:t>
      </w:r>
      <w:r w:rsidRPr="00A20446">
        <w:t xml:space="preserve"> </w:t>
      </w:r>
      <w:r>
        <w:t>(</w:t>
      </w:r>
      <w:r w:rsidR="00281E3B">
        <w:t>-3,5</w:t>
      </w:r>
      <w:r>
        <w:t>% dal +</w:t>
      </w:r>
      <w:r w:rsidR="00281E3B">
        <w:t>2,9</w:t>
      </w:r>
      <w:r>
        <w:t>% nel 201</w:t>
      </w:r>
      <w:r w:rsidR="00281E3B">
        <w:t>9</w:t>
      </w:r>
      <w:r>
        <w:t>)</w:t>
      </w:r>
      <w:r w:rsidR="006C5A0F">
        <w:t xml:space="preserve"> a sintesi di andamenti eterogenei tra i paesi: </w:t>
      </w:r>
      <w:r w:rsidR="00661B2B">
        <w:t xml:space="preserve">i mercati emergenti </w:t>
      </w:r>
      <w:r w:rsidRPr="00A20446">
        <w:t xml:space="preserve">e in via di sviluppo </w:t>
      </w:r>
      <w:r w:rsidR="00E65031">
        <w:t>dovrebbero sperimentare</w:t>
      </w:r>
      <w:r w:rsidR="00BC6EDB">
        <w:t xml:space="preserve"> </w:t>
      </w:r>
      <w:r>
        <w:t xml:space="preserve">una </w:t>
      </w:r>
      <w:r w:rsidR="00261834" w:rsidRPr="00261834">
        <w:rPr>
          <w:i/>
        </w:rPr>
        <w:t>performance</w:t>
      </w:r>
      <w:r w:rsidRPr="00261834">
        <w:rPr>
          <w:i/>
        </w:rPr>
        <w:t xml:space="preserve"> </w:t>
      </w:r>
      <w:r>
        <w:t xml:space="preserve">meno </w:t>
      </w:r>
      <w:r w:rsidR="00661B2B">
        <w:t>negativa</w:t>
      </w:r>
      <w:r>
        <w:t xml:space="preserve"> rispetto a quella </w:t>
      </w:r>
      <w:r w:rsidR="00661B2B">
        <w:t>dei paesi avanzati</w:t>
      </w:r>
      <w:r>
        <w:t>.</w:t>
      </w:r>
    </w:p>
    <w:p w14:paraId="401584D4" w14:textId="7113852D" w:rsidR="00DD69CA" w:rsidRPr="006B1563" w:rsidRDefault="00ED7ABC" w:rsidP="002444FA">
      <w:pPr>
        <w:pStyle w:val="01testo"/>
        <w:rPr>
          <w:spacing w:val="-1"/>
        </w:rPr>
      </w:pPr>
      <w:r w:rsidRPr="006B1563">
        <w:rPr>
          <w:spacing w:val="-1"/>
        </w:rPr>
        <w:t>I</w:t>
      </w:r>
      <w:r w:rsidR="002444FA" w:rsidRPr="006B1563">
        <w:rPr>
          <w:spacing w:val="-1"/>
        </w:rPr>
        <w:t xml:space="preserve"> dati macroeconomici relativi ai primi tre mesi dell’anno sono stati molto negativi. </w:t>
      </w:r>
      <w:r w:rsidR="006C5A0F" w:rsidRPr="006B1563">
        <w:rPr>
          <w:spacing w:val="-1"/>
        </w:rPr>
        <w:t>Nel primo trimestre del 2020</w:t>
      </w:r>
      <w:r w:rsidR="002444FA" w:rsidRPr="006B1563">
        <w:rPr>
          <w:spacing w:val="-1"/>
        </w:rPr>
        <w:t xml:space="preserve">, il Pil cinese ha registrato una contrazione congiunturale record del 9,8% (-6,8% il dato tendenziale). La riduzione della diffusione del contagio nel paese e la conseguente riapertura di molte attività produttive hanno determinato, però, un moderato miglioramento </w:t>
      </w:r>
      <w:r w:rsidR="00126D21" w:rsidRPr="006B1563">
        <w:rPr>
          <w:spacing w:val="-1"/>
        </w:rPr>
        <w:t>a partire da marzo quando gli indici</w:t>
      </w:r>
      <w:r w:rsidR="00DD69CA" w:rsidRPr="006B1563">
        <w:rPr>
          <w:spacing w:val="-1"/>
        </w:rPr>
        <w:t xml:space="preserve"> PMI dei servizi e della manifatturiera sono tornati al di sopra della soglia di espansione</w:t>
      </w:r>
      <w:r w:rsidR="002444FA" w:rsidRPr="006B1563">
        <w:rPr>
          <w:spacing w:val="-1"/>
        </w:rPr>
        <w:t xml:space="preserve">. </w:t>
      </w:r>
    </w:p>
    <w:p w14:paraId="149583DF" w14:textId="77777777" w:rsidR="00647E2C" w:rsidRPr="00ED7ABC" w:rsidRDefault="002444FA" w:rsidP="002444FA">
      <w:pPr>
        <w:pStyle w:val="01testo"/>
      </w:pPr>
      <w:r w:rsidRPr="00ED7ABC">
        <w:t xml:space="preserve">Negli Stati Uniti, la stima del Pil del primo trimestre, che incorpora gli effetti del </w:t>
      </w:r>
      <w:r w:rsidRPr="002C665F">
        <w:rPr>
          <w:i/>
        </w:rPr>
        <w:t>lockdown</w:t>
      </w:r>
      <w:r w:rsidRPr="00ED7ABC">
        <w:t xml:space="preserve"> attuato nella maggior parte degli Stati dalla seconda metà di marzo, ha registrato un calo rispetto al trimestre precedente (-1,</w:t>
      </w:r>
      <w:r w:rsidR="00BE1920">
        <w:t>2</w:t>
      </w:r>
      <w:r w:rsidRPr="00ED7ABC">
        <w:t xml:space="preserve">%) dovuto ad ampie flessioni di consumi e investimenti fissi non residenziali. </w:t>
      </w:r>
    </w:p>
    <w:p w14:paraId="46F0C718" w14:textId="7AC25A91" w:rsidR="003060DE" w:rsidRPr="00ED7ABC" w:rsidRDefault="002444FA" w:rsidP="002444FA">
      <w:pPr>
        <w:pStyle w:val="01testo"/>
        <w:rPr>
          <w:spacing w:val="1"/>
        </w:rPr>
      </w:pPr>
      <w:r w:rsidRPr="00ED7ABC">
        <w:rPr>
          <w:spacing w:val="1"/>
        </w:rPr>
        <w:t xml:space="preserve">Nell’area dell’euro, la stima flash </w:t>
      </w:r>
      <w:r w:rsidR="006C5A0F">
        <w:rPr>
          <w:spacing w:val="1"/>
        </w:rPr>
        <w:t xml:space="preserve">riferita al primo trimestre </w:t>
      </w:r>
      <w:r w:rsidRPr="00ED7ABC">
        <w:rPr>
          <w:spacing w:val="1"/>
        </w:rPr>
        <w:t>ha mostrato una decisa contrazione congiunturale</w:t>
      </w:r>
      <w:r w:rsidR="006C5A0F">
        <w:rPr>
          <w:spacing w:val="1"/>
        </w:rPr>
        <w:t xml:space="preserve"> </w:t>
      </w:r>
      <w:r w:rsidR="006C5A0F" w:rsidRPr="00ED7ABC">
        <w:rPr>
          <w:spacing w:val="1"/>
        </w:rPr>
        <w:t>del Pil</w:t>
      </w:r>
      <w:r w:rsidRPr="00ED7ABC">
        <w:rPr>
          <w:spacing w:val="1"/>
        </w:rPr>
        <w:t xml:space="preserve"> (-3,8%): nel dettaglio nazionale, in Francia si è registrata una caduta del 5,8%</w:t>
      </w:r>
      <w:r w:rsidR="00A214A6">
        <w:rPr>
          <w:spacing w:val="1"/>
        </w:rPr>
        <w:t xml:space="preserve"> e</w:t>
      </w:r>
      <w:r w:rsidRPr="00ED7ABC">
        <w:rPr>
          <w:spacing w:val="1"/>
        </w:rPr>
        <w:t xml:space="preserve"> in Spagna del 5,2%</w:t>
      </w:r>
      <w:r w:rsidR="00DD69CA" w:rsidRPr="00ED7ABC">
        <w:rPr>
          <w:spacing w:val="1"/>
        </w:rPr>
        <w:t xml:space="preserve">. In Germania </w:t>
      </w:r>
      <w:r w:rsidR="00032EE6" w:rsidRPr="00ED7ABC">
        <w:rPr>
          <w:spacing w:val="1"/>
        </w:rPr>
        <w:t>la flessione</w:t>
      </w:r>
      <w:r w:rsidR="00DD69CA" w:rsidRPr="00ED7ABC">
        <w:rPr>
          <w:spacing w:val="1"/>
        </w:rPr>
        <w:t xml:space="preserve"> è stat</w:t>
      </w:r>
      <w:r w:rsidR="00032EE6" w:rsidRPr="00ED7ABC">
        <w:rPr>
          <w:spacing w:val="1"/>
        </w:rPr>
        <w:t>a</w:t>
      </w:r>
      <w:r w:rsidR="00DD69CA" w:rsidRPr="00ED7ABC">
        <w:rPr>
          <w:spacing w:val="1"/>
        </w:rPr>
        <w:t xml:space="preserve"> meno forte</w:t>
      </w:r>
      <w:r w:rsidR="00904A26">
        <w:rPr>
          <w:spacing w:val="1"/>
        </w:rPr>
        <w:t xml:space="preserve"> (-2,2%)</w:t>
      </w:r>
      <w:r w:rsidR="00DD69CA" w:rsidRPr="00ED7ABC">
        <w:rPr>
          <w:spacing w:val="1"/>
        </w:rPr>
        <w:t xml:space="preserve">, in linea con un </w:t>
      </w:r>
      <w:r w:rsidR="00DD69CA" w:rsidRPr="002C665F">
        <w:rPr>
          <w:i/>
          <w:spacing w:val="1"/>
        </w:rPr>
        <w:t>lockdown</w:t>
      </w:r>
      <w:r w:rsidR="00DD69CA" w:rsidRPr="00ED7ABC">
        <w:rPr>
          <w:spacing w:val="1"/>
        </w:rPr>
        <w:t xml:space="preserve"> più limitato</w:t>
      </w:r>
      <w:r w:rsidR="00032EE6" w:rsidRPr="00ED7ABC">
        <w:rPr>
          <w:spacing w:val="1"/>
        </w:rPr>
        <w:t xml:space="preserve"> per estensione e durata</w:t>
      </w:r>
      <w:r w:rsidR="00DD69CA" w:rsidRPr="00ED7ABC">
        <w:rPr>
          <w:spacing w:val="1"/>
        </w:rPr>
        <w:t>.</w:t>
      </w:r>
      <w:r w:rsidR="00647E2C" w:rsidRPr="00ED7ABC">
        <w:rPr>
          <w:spacing w:val="1"/>
        </w:rPr>
        <w:t xml:space="preserve"> </w:t>
      </w:r>
      <w:r w:rsidRPr="00ED7ABC">
        <w:rPr>
          <w:spacing w:val="1"/>
        </w:rPr>
        <w:t xml:space="preserve">Le recenti previsioni della Commissione europea </w:t>
      </w:r>
      <w:r w:rsidRPr="00ED7ABC">
        <w:rPr>
          <w:spacing w:val="1"/>
        </w:rPr>
        <w:lastRenderedPageBreak/>
        <w:t xml:space="preserve">stimano per l’area </w:t>
      </w:r>
      <w:r w:rsidR="00904A26">
        <w:rPr>
          <w:spacing w:val="1"/>
        </w:rPr>
        <w:t xml:space="preserve">dell’euro </w:t>
      </w:r>
      <w:r w:rsidR="00322DC4">
        <w:rPr>
          <w:spacing w:val="1"/>
        </w:rPr>
        <w:t>una decisa contrazione</w:t>
      </w:r>
      <w:r w:rsidRPr="00ED7ABC">
        <w:rPr>
          <w:spacing w:val="1"/>
        </w:rPr>
        <w:t xml:space="preserve"> dell’attività economica quest’anno (-7,</w:t>
      </w:r>
      <w:r w:rsidR="006B75CB" w:rsidRPr="00ED7ABC">
        <w:rPr>
          <w:spacing w:val="1"/>
        </w:rPr>
        <w:t>7</w:t>
      </w:r>
      <w:r w:rsidRPr="00ED7ABC">
        <w:rPr>
          <w:spacing w:val="1"/>
        </w:rPr>
        <w:t xml:space="preserve">%) e un rimbalzo nel 2021 (+6,3%), a sintesi di performance eterogenee </w:t>
      </w:r>
      <w:r w:rsidR="00904A26">
        <w:rPr>
          <w:spacing w:val="1"/>
        </w:rPr>
        <w:t xml:space="preserve">tra </w:t>
      </w:r>
      <w:r w:rsidRPr="00ED7ABC">
        <w:rPr>
          <w:spacing w:val="1"/>
        </w:rPr>
        <w:t>i paesi.</w:t>
      </w:r>
      <w:r w:rsidR="00F44D1D" w:rsidRPr="00ED7ABC">
        <w:rPr>
          <w:spacing w:val="1"/>
        </w:rPr>
        <w:t xml:space="preserve"> Vista l’elevata incertezza che caratterizza la congiuntura internazionale e i numerosi rischi al ribasso, la Commissione europea ha presentato anche </w:t>
      </w:r>
      <w:r w:rsidR="00D12FD5">
        <w:rPr>
          <w:spacing w:val="1"/>
        </w:rPr>
        <w:t>uno</w:t>
      </w:r>
      <w:r w:rsidR="00F44D1D" w:rsidRPr="00ED7ABC">
        <w:rPr>
          <w:spacing w:val="1"/>
        </w:rPr>
        <w:t xml:space="preserve"> scenari</w:t>
      </w:r>
      <w:r w:rsidR="00D12FD5">
        <w:rPr>
          <w:spacing w:val="1"/>
        </w:rPr>
        <w:t>o</w:t>
      </w:r>
      <w:r w:rsidR="00F44D1D" w:rsidRPr="00ED7ABC">
        <w:rPr>
          <w:spacing w:val="1"/>
        </w:rPr>
        <w:t xml:space="preserve"> </w:t>
      </w:r>
      <w:r w:rsidR="00D12FD5">
        <w:rPr>
          <w:spacing w:val="1"/>
        </w:rPr>
        <w:t>caratterizzato</w:t>
      </w:r>
      <w:r w:rsidR="002C665F" w:rsidRPr="002C665F">
        <w:rPr>
          <w:spacing w:val="1"/>
        </w:rPr>
        <w:t xml:space="preserve"> </w:t>
      </w:r>
      <w:r w:rsidR="00D12FD5">
        <w:rPr>
          <w:spacing w:val="1"/>
        </w:rPr>
        <w:t>dal</w:t>
      </w:r>
      <w:r w:rsidR="002C665F">
        <w:rPr>
          <w:spacing w:val="1"/>
        </w:rPr>
        <w:t>l’ipotesi di una seconda ondata della diffusione del virus,</w:t>
      </w:r>
      <w:r w:rsidR="00F44D1D" w:rsidRPr="00ED7ABC">
        <w:rPr>
          <w:spacing w:val="1"/>
        </w:rPr>
        <w:t xml:space="preserve"> </w:t>
      </w:r>
      <w:r w:rsidR="00D12FD5">
        <w:rPr>
          <w:spacing w:val="1"/>
        </w:rPr>
        <w:t>che determinerebbe una ulteriore contrazione del Pil per 2 punti percentuali rispetto allo scenario base</w:t>
      </w:r>
      <w:r w:rsidR="001F00C0" w:rsidRPr="00ED7ABC">
        <w:rPr>
          <w:spacing w:val="1"/>
        </w:rPr>
        <w:t>.</w:t>
      </w:r>
      <w:r w:rsidR="00F44D1D" w:rsidRPr="00ED7ABC">
        <w:rPr>
          <w:spacing w:val="1"/>
        </w:rPr>
        <w:t xml:space="preserve"> </w:t>
      </w:r>
    </w:p>
    <w:p w14:paraId="1E12CFB1" w14:textId="77777777" w:rsidR="000836E4" w:rsidRPr="006B75CB" w:rsidRDefault="00F928FD" w:rsidP="00F928FD">
      <w:pPr>
        <w:pStyle w:val="01testo"/>
      </w:pPr>
      <w:r>
        <w:t>L</w:t>
      </w:r>
      <w:r w:rsidR="003060DE" w:rsidRPr="002444FA">
        <w:t>e indagini sulla fiducia relative all’area euro</w:t>
      </w:r>
      <w:r w:rsidR="00647E2C">
        <w:t xml:space="preserve">, </w:t>
      </w:r>
      <w:r w:rsidR="006B75CB">
        <w:t>già deboli nei primi mesi dell’anno</w:t>
      </w:r>
      <w:r w:rsidR="00647E2C">
        <w:t>,</w:t>
      </w:r>
      <w:r w:rsidR="006B75CB">
        <w:t xml:space="preserve"> </w:t>
      </w:r>
      <w:r w:rsidR="003060DE" w:rsidRPr="002444FA">
        <w:t xml:space="preserve">hanno </w:t>
      </w:r>
      <w:r w:rsidR="00A27700" w:rsidRPr="002444FA">
        <w:t>evidenziato</w:t>
      </w:r>
      <w:r w:rsidR="00F44D1D">
        <w:t xml:space="preserve"> a maggio</w:t>
      </w:r>
      <w:r w:rsidR="006B75CB">
        <w:t>,</w:t>
      </w:r>
      <w:r w:rsidR="00A27700" w:rsidRPr="002444FA">
        <w:t xml:space="preserve"> </w:t>
      </w:r>
      <w:r w:rsidR="002444FA" w:rsidRPr="002444FA">
        <w:t xml:space="preserve">dopo il crollo </w:t>
      </w:r>
      <w:r w:rsidR="006B75CB">
        <w:t xml:space="preserve">senza precedenti </w:t>
      </w:r>
      <w:r w:rsidR="002444FA" w:rsidRPr="002444FA">
        <w:t>di marzo</w:t>
      </w:r>
      <w:r w:rsidR="006B75CB">
        <w:t xml:space="preserve"> e aprile, i primi segnali di</w:t>
      </w:r>
      <w:r w:rsidR="002444FA" w:rsidRPr="002444FA">
        <w:t xml:space="preserve"> recupero.</w:t>
      </w:r>
      <w:r w:rsidR="003060DE" w:rsidRPr="002444FA">
        <w:t xml:space="preserve"> </w:t>
      </w:r>
      <w:r>
        <w:t xml:space="preserve">L’indice anticipatore </w:t>
      </w:r>
      <w:r w:rsidRPr="00F928FD">
        <w:t>€-coin</w:t>
      </w:r>
      <w:r>
        <w:t>, invece</w:t>
      </w:r>
      <w:r w:rsidR="00647E2C">
        <w:t>,</w:t>
      </w:r>
      <w:r w:rsidRPr="00F928FD">
        <w:t xml:space="preserve"> </w:t>
      </w:r>
      <w:r>
        <w:t>ha continuato a scendere (</w:t>
      </w:r>
      <w:r w:rsidRPr="00F928FD">
        <w:t xml:space="preserve">-0,32 da -0,13 </w:t>
      </w:r>
      <w:r>
        <w:t>di</w:t>
      </w:r>
      <w:r w:rsidRPr="00F928FD">
        <w:t xml:space="preserve"> aprile), </w:t>
      </w:r>
      <w:r>
        <w:t xml:space="preserve">toccando </w:t>
      </w:r>
      <w:r w:rsidRPr="00F928FD">
        <w:t>il livello più basso da settembre 2012.</w:t>
      </w:r>
    </w:p>
    <w:p w14:paraId="52B68953" w14:textId="77777777" w:rsidR="00756F43" w:rsidRPr="00BA5651" w:rsidRDefault="00756F43" w:rsidP="007324A0">
      <w:pPr>
        <w:pStyle w:val="01testo"/>
        <w:spacing w:after="0"/>
        <w:rPr>
          <w:spacing w:val="-4"/>
        </w:rPr>
      </w:pPr>
    </w:p>
    <w:p w14:paraId="3FBF0EB1" w14:textId="5B7B3F50" w:rsidR="00C672ED" w:rsidRPr="005A52A9" w:rsidRDefault="00C672ED" w:rsidP="00C672ED">
      <w:pPr>
        <w:pStyle w:val="051tabella-figuratitolo"/>
        <w:rPr>
          <w:caps/>
        </w:rPr>
      </w:pPr>
      <w:r w:rsidRPr="003C0027">
        <w:rPr>
          <w:caps/>
        </w:rPr>
        <w:t>Prospetto 2. Principali variabili internazionali</w:t>
      </w:r>
      <w:r w:rsidR="00AB0DFC">
        <w:rPr>
          <w:caps/>
        </w:rPr>
        <w:t xml:space="preserve"> </w:t>
      </w:r>
    </w:p>
    <w:p w14:paraId="1FA37877" w14:textId="68D01FE7" w:rsidR="00C672ED" w:rsidRPr="003975A0" w:rsidRDefault="00C672ED" w:rsidP="00C672ED">
      <w:pPr>
        <w:pStyle w:val="052tabella-figurasottotitolo"/>
        <w:spacing w:before="40"/>
      </w:pPr>
      <w:r w:rsidRPr="005A52A9">
        <w:t>Anni 201</w:t>
      </w:r>
      <w:r w:rsidR="00756F43">
        <w:t>9</w:t>
      </w:r>
      <w:r w:rsidRPr="005A52A9">
        <w:t>-20</w:t>
      </w:r>
      <w:r w:rsidR="007543A9" w:rsidRPr="005A52A9">
        <w:t>2</w:t>
      </w:r>
      <w:r w:rsidR="00756F43">
        <w:t>1</w:t>
      </w:r>
      <w:r w:rsidRPr="005A52A9">
        <w:t xml:space="preserve">, </w:t>
      </w:r>
      <w:r w:rsidR="00904A26">
        <w:t xml:space="preserve">livelli e </w:t>
      </w:r>
      <w:r w:rsidRPr="005A52A9">
        <w:t>variazioni percentuali sull’anno precedente</w:t>
      </w:r>
    </w:p>
    <w:tbl>
      <w:tblPr>
        <w:tblW w:w="8505" w:type="dxa"/>
        <w:tblInd w:w="1871" w:type="dxa"/>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Pr>
      <w:tblGrid>
        <w:gridCol w:w="5103"/>
        <w:gridCol w:w="1134"/>
        <w:gridCol w:w="1134"/>
        <w:gridCol w:w="1134"/>
      </w:tblGrid>
      <w:tr w:rsidR="00756F43" w:rsidRPr="003975A0" w14:paraId="674CDE6E" w14:textId="77777777" w:rsidTr="00F30A12">
        <w:trPr>
          <w:trHeight w:val="227"/>
        </w:trPr>
        <w:tc>
          <w:tcPr>
            <w:tcW w:w="5103" w:type="dxa"/>
            <w:tcBorders>
              <w:top w:val="single" w:sz="6" w:space="0" w:color="auto"/>
              <w:bottom w:val="single" w:sz="6" w:space="0" w:color="auto"/>
            </w:tcBorders>
            <w:noWrap/>
            <w:vAlign w:val="bottom"/>
          </w:tcPr>
          <w:p w14:paraId="5D5130BD" w14:textId="77777777" w:rsidR="00756F43" w:rsidRPr="003975A0" w:rsidRDefault="00756F43" w:rsidP="00756F43">
            <w:pPr>
              <w:spacing w:after="0" w:line="240" w:lineRule="auto"/>
              <w:rPr>
                <w:rFonts w:ascii="Arial Narrow" w:hAnsi="Arial Narrow" w:cs="Arial"/>
                <w:b/>
                <w:bCs/>
                <w:sz w:val="18"/>
                <w:szCs w:val="18"/>
              </w:rPr>
            </w:pPr>
            <w:r w:rsidRPr="003975A0">
              <w:rPr>
                <w:rFonts w:ascii="Arial Narrow" w:hAnsi="Arial Narrow" w:cs="Arial"/>
                <w:b/>
                <w:bCs/>
                <w:sz w:val="18"/>
                <w:szCs w:val="18"/>
              </w:rPr>
              <w:t> </w:t>
            </w:r>
          </w:p>
        </w:tc>
        <w:tc>
          <w:tcPr>
            <w:tcW w:w="1134" w:type="dxa"/>
            <w:tcBorders>
              <w:top w:val="single" w:sz="6" w:space="0" w:color="auto"/>
              <w:bottom w:val="single" w:sz="6" w:space="0" w:color="auto"/>
            </w:tcBorders>
            <w:shd w:val="clear" w:color="auto" w:fill="auto"/>
            <w:noWrap/>
            <w:vAlign w:val="bottom"/>
          </w:tcPr>
          <w:p w14:paraId="0EC7B5C1" w14:textId="77777777" w:rsidR="00756F43" w:rsidRPr="00ED7ABC" w:rsidRDefault="00756F43" w:rsidP="00756F43">
            <w:pPr>
              <w:spacing w:after="0" w:line="240" w:lineRule="auto"/>
              <w:jc w:val="center"/>
              <w:rPr>
                <w:rFonts w:ascii="Arial Narrow" w:hAnsi="Arial Narrow"/>
                <w:b/>
                <w:bCs/>
                <w:color w:val="000000"/>
                <w:sz w:val="18"/>
                <w:szCs w:val="18"/>
                <w:lang w:eastAsia="it-IT"/>
              </w:rPr>
            </w:pPr>
            <w:r w:rsidRPr="00ED7ABC">
              <w:rPr>
                <w:rFonts w:ascii="Arial Narrow" w:hAnsi="Arial Narrow"/>
                <w:b/>
                <w:bCs/>
                <w:color w:val="000000"/>
                <w:sz w:val="18"/>
                <w:szCs w:val="18"/>
                <w:lang w:eastAsia="it-IT"/>
              </w:rPr>
              <w:t>2019</w:t>
            </w:r>
          </w:p>
        </w:tc>
        <w:tc>
          <w:tcPr>
            <w:tcW w:w="1134" w:type="dxa"/>
            <w:tcBorders>
              <w:top w:val="single" w:sz="6" w:space="0" w:color="auto"/>
              <w:bottom w:val="single" w:sz="6" w:space="0" w:color="auto"/>
            </w:tcBorders>
            <w:shd w:val="clear" w:color="auto" w:fill="D9D9D9"/>
            <w:noWrap/>
            <w:vAlign w:val="bottom"/>
          </w:tcPr>
          <w:p w14:paraId="1E946097" w14:textId="77777777" w:rsidR="00756F43" w:rsidRPr="00ED7ABC" w:rsidRDefault="00756F43" w:rsidP="00756F43">
            <w:pPr>
              <w:spacing w:after="0" w:line="240" w:lineRule="auto"/>
              <w:jc w:val="center"/>
              <w:rPr>
                <w:rFonts w:ascii="Arial Narrow" w:hAnsi="Arial Narrow"/>
                <w:b/>
                <w:bCs/>
                <w:color w:val="000000"/>
                <w:sz w:val="18"/>
                <w:szCs w:val="18"/>
                <w:lang w:eastAsia="it-IT"/>
              </w:rPr>
            </w:pPr>
            <w:r w:rsidRPr="00ED7ABC">
              <w:rPr>
                <w:rFonts w:ascii="Arial Narrow" w:hAnsi="Arial Narrow"/>
                <w:b/>
                <w:bCs/>
                <w:color w:val="000000"/>
                <w:sz w:val="18"/>
                <w:szCs w:val="18"/>
                <w:lang w:eastAsia="it-IT"/>
              </w:rPr>
              <w:t>2020</w:t>
            </w:r>
          </w:p>
        </w:tc>
        <w:tc>
          <w:tcPr>
            <w:tcW w:w="1134" w:type="dxa"/>
            <w:tcBorders>
              <w:top w:val="single" w:sz="6" w:space="0" w:color="auto"/>
              <w:bottom w:val="single" w:sz="6" w:space="0" w:color="auto"/>
            </w:tcBorders>
            <w:shd w:val="clear" w:color="auto" w:fill="D9D9D9"/>
            <w:vAlign w:val="bottom"/>
          </w:tcPr>
          <w:p w14:paraId="3D4A5287" w14:textId="77777777" w:rsidR="00756F43" w:rsidRPr="00ED7ABC" w:rsidRDefault="00756F43" w:rsidP="00756F43">
            <w:pPr>
              <w:spacing w:after="0" w:line="240" w:lineRule="auto"/>
              <w:jc w:val="center"/>
              <w:rPr>
                <w:rFonts w:ascii="Arial Narrow" w:hAnsi="Arial Narrow"/>
                <w:b/>
                <w:bCs/>
                <w:color w:val="000000"/>
                <w:sz w:val="18"/>
                <w:szCs w:val="18"/>
                <w:lang w:eastAsia="it-IT"/>
              </w:rPr>
            </w:pPr>
            <w:r w:rsidRPr="00ED7ABC">
              <w:rPr>
                <w:rFonts w:ascii="Arial Narrow" w:hAnsi="Arial Narrow"/>
                <w:b/>
                <w:bCs/>
                <w:color w:val="000000"/>
                <w:sz w:val="18"/>
                <w:szCs w:val="18"/>
                <w:lang w:eastAsia="it-IT"/>
              </w:rPr>
              <w:t>2021</w:t>
            </w:r>
          </w:p>
        </w:tc>
      </w:tr>
      <w:tr w:rsidR="00C672ED" w:rsidRPr="003975A0" w14:paraId="206AB2CB" w14:textId="77777777" w:rsidTr="00F30A12">
        <w:trPr>
          <w:trHeight w:val="227"/>
        </w:trPr>
        <w:tc>
          <w:tcPr>
            <w:tcW w:w="5103" w:type="dxa"/>
            <w:tcBorders>
              <w:top w:val="single" w:sz="6" w:space="0" w:color="auto"/>
              <w:bottom w:val="single" w:sz="2" w:space="0" w:color="auto"/>
            </w:tcBorders>
            <w:noWrap/>
            <w:vAlign w:val="bottom"/>
          </w:tcPr>
          <w:p w14:paraId="0AFE168E" w14:textId="77777777" w:rsidR="00C672ED" w:rsidRPr="003975A0" w:rsidRDefault="00C672ED" w:rsidP="00E350FA">
            <w:pPr>
              <w:spacing w:after="0" w:line="240" w:lineRule="auto"/>
              <w:rPr>
                <w:rFonts w:ascii="Arial Narrow" w:hAnsi="Arial Narrow" w:cs="Arial"/>
                <w:sz w:val="18"/>
                <w:szCs w:val="18"/>
              </w:rPr>
            </w:pPr>
            <w:r w:rsidRPr="003975A0">
              <w:rPr>
                <w:rFonts w:ascii="Arial Narrow" w:hAnsi="Arial Narrow" w:cs="Arial"/>
                <w:sz w:val="18"/>
                <w:szCs w:val="18"/>
              </w:rPr>
              <w:t>Prezzo del Brent (dollari a barile)</w:t>
            </w:r>
          </w:p>
        </w:tc>
        <w:tc>
          <w:tcPr>
            <w:tcW w:w="1134" w:type="dxa"/>
            <w:tcBorders>
              <w:top w:val="single" w:sz="6" w:space="0" w:color="auto"/>
              <w:bottom w:val="single" w:sz="2" w:space="0" w:color="auto"/>
            </w:tcBorders>
            <w:shd w:val="clear" w:color="auto" w:fill="auto"/>
            <w:noWrap/>
            <w:vAlign w:val="bottom"/>
          </w:tcPr>
          <w:p w14:paraId="50B3EAF9" w14:textId="77777777" w:rsidR="00C672ED" w:rsidRPr="00ED7ABC" w:rsidRDefault="00AB0DFC" w:rsidP="00822A4A">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64,3</w:t>
            </w:r>
          </w:p>
        </w:tc>
        <w:tc>
          <w:tcPr>
            <w:tcW w:w="1134" w:type="dxa"/>
            <w:tcBorders>
              <w:top w:val="single" w:sz="6" w:space="0" w:color="auto"/>
              <w:bottom w:val="single" w:sz="2" w:space="0" w:color="auto"/>
            </w:tcBorders>
            <w:shd w:val="clear" w:color="auto" w:fill="D9D9D9"/>
            <w:noWrap/>
            <w:vAlign w:val="bottom"/>
          </w:tcPr>
          <w:p w14:paraId="214A44CD" w14:textId="77777777" w:rsidR="00C672ED" w:rsidRPr="00C479BA" w:rsidRDefault="008F1E55" w:rsidP="00E350FA">
            <w:pPr>
              <w:spacing w:after="0" w:line="240" w:lineRule="auto"/>
              <w:jc w:val="center"/>
              <w:rPr>
                <w:rFonts w:ascii="Arial Narrow" w:hAnsi="Arial Narrow" w:cs="Arial"/>
                <w:color w:val="000000"/>
                <w:sz w:val="18"/>
                <w:szCs w:val="18"/>
              </w:rPr>
            </w:pPr>
            <w:r w:rsidRPr="00C479BA">
              <w:rPr>
                <w:rFonts w:ascii="Arial Narrow" w:hAnsi="Arial Narrow" w:cs="Arial"/>
                <w:color w:val="000000"/>
                <w:sz w:val="18"/>
                <w:szCs w:val="18"/>
              </w:rPr>
              <w:t>33,7</w:t>
            </w:r>
          </w:p>
        </w:tc>
        <w:tc>
          <w:tcPr>
            <w:tcW w:w="1134" w:type="dxa"/>
            <w:tcBorders>
              <w:top w:val="single" w:sz="6" w:space="0" w:color="auto"/>
              <w:bottom w:val="single" w:sz="2" w:space="0" w:color="auto"/>
            </w:tcBorders>
            <w:shd w:val="clear" w:color="auto" w:fill="D9D9D9"/>
            <w:vAlign w:val="bottom"/>
          </w:tcPr>
          <w:p w14:paraId="393E26FE" w14:textId="77777777" w:rsidR="00C672ED" w:rsidRPr="00C479BA" w:rsidRDefault="008F1E55" w:rsidP="00822A4A">
            <w:pPr>
              <w:spacing w:after="0" w:line="240" w:lineRule="auto"/>
              <w:jc w:val="center"/>
              <w:rPr>
                <w:rFonts w:ascii="Arial Narrow" w:hAnsi="Arial Narrow" w:cs="Arial"/>
                <w:color w:val="000000"/>
                <w:sz w:val="18"/>
                <w:szCs w:val="18"/>
              </w:rPr>
            </w:pPr>
            <w:r w:rsidRPr="00C479BA">
              <w:rPr>
                <w:rFonts w:ascii="Arial Narrow" w:hAnsi="Arial Narrow" w:cs="Arial"/>
                <w:color w:val="000000"/>
                <w:sz w:val="18"/>
                <w:szCs w:val="18"/>
              </w:rPr>
              <w:t>33,7</w:t>
            </w:r>
          </w:p>
        </w:tc>
      </w:tr>
      <w:tr w:rsidR="00C672ED" w:rsidRPr="003975A0" w14:paraId="2BBA055E" w14:textId="77777777" w:rsidTr="00F30A12">
        <w:trPr>
          <w:trHeight w:val="227"/>
        </w:trPr>
        <w:tc>
          <w:tcPr>
            <w:tcW w:w="5103" w:type="dxa"/>
            <w:tcBorders>
              <w:top w:val="single" w:sz="2" w:space="0" w:color="auto"/>
              <w:bottom w:val="single" w:sz="2" w:space="0" w:color="auto"/>
            </w:tcBorders>
            <w:noWrap/>
            <w:vAlign w:val="bottom"/>
          </w:tcPr>
          <w:p w14:paraId="3859EB64" w14:textId="77777777" w:rsidR="00C672ED" w:rsidRPr="003975A0" w:rsidRDefault="00C672ED" w:rsidP="00E350FA">
            <w:pPr>
              <w:spacing w:after="0" w:line="240" w:lineRule="auto"/>
              <w:rPr>
                <w:rFonts w:ascii="Arial Narrow" w:hAnsi="Arial Narrow" w:cs="Arial"/>
                <w:sz w:val="18"/>
                <w:szCs w:val="18"/>
              </w:rPr>
            </w:pPr>
            <w:r w:rsidRPr="003975A0">
              <w:rPr>
                <w:rFonts w:ascii="Arial Narrow" w:hAnsi="Arial Narrow" w:cs="Arial"/>
                <w:sz w:val="18"/>
                <w:szCs w:val="18"/>
              </w:rPr>
              <w:t>Tasso di cambio dollaro/euro</w:t>
            </w:r>
          </w:p>
        </w:tc>
        <w:tc>
          <w:tcPr>
            <w:tcW w:w="1134" w:type="dxa"/>
            <w:tcBorders>
              <w:top w:val="single" w:sz="2" w:space="0" w:color="auto"/>
              <w:bottom w:val="single" w:sz="2" w:space="0" w:color="auto"/>
            </w:tcBorders>
            <w:shd w:val="clear" w:color="auto" w:fill="auto"/>
            <w:noWrap/>
            <w:vAlign w:val="bottom"/>
          </w:tcPr>
          <w:p w14:paraId="6CA82667" w14:textId="77777777" w:rsidR="00C672ED" w:rsidRPr="00ED7ABC" w:rsidRDefault="00A209CB" w:rsidP="00E350FA">
            <w:pPr>
              <w:spacing w:after="0" w:line="240" w:lineRule="auto"/>
              <w:jc w:val="center"/>
              <w:rPr>
                <w:rFonts w:ascii="Arial Narrow" w:hAnsi="Arial Narrow" w:cs="Arial"/>
                <w:sz w:val="18"/>
                <w:szCs w:val="18"/>
              </w:rPr>
            </w:pPr>
            <w:r w:rsidRPr="00ED7ABC">
              <w:rPr>
                <w:rFonts w:ascii="Arial Narrow" w:hAnsi="Arial Narrow" w:cs="Arial"/>
                <w:color w:val="000000"/>
                <w:sz w:val="18"/>
                <w:szCs w:val="18"/>
              </w:rPr>
              <w:t>1,1</w:t>
            </w:r>
            <w:r w:rsidR="00AB0DFC" w:rsidRPr="00ED7ABC">
              <w:rPr>
                <w:rFonts w:ascii="Arial Narrow" w:hAnsi="Arial Narrow" w:cs="Arial"/>
                <w:color w:val="000000"/>
                <w:sz w:val="18"/>
                <w:szCs w:val="18"/>
              </w:rPr>
              <w:t>2</w:t>
            </w:r>
          </w:p>
        </w:tc>
        <w:tc>
          <w:tcPr>
            <w:tcW w:w="1134" w:type="dxa"/>
            <w:tcBorders>
              <w:top w:val="single" w:sz="2" w:space="0" w:color="auto"/>
              <w:bottom w:val="single" w:sz="2" w:space="0" w:color="auto"/>
            </w:tcBorders>
            <w:shd w:val="clear" w:color="auto" w:fill="D9D9D9"/>
            <w:noWrap/>
            <w:vAlign w:val="bottom"/>
          </w:tcPr>
          <w:p w14:paraId="09D63DC6" w14:textId="77777777" w:rsidR="00C672ED" w:rsidRPr="00C479BA" w:rsidRDefault="005A52A9" w:rsidP="00E350FA">
            <w:pPr>
              <w:spacing w:after="0" w:line="240" w:lineRule="auto"/>
              <w:jc w:val="center"/>
              <w:rPr>
                <w:rFonts w:ascii="Arial Narrow" w:hAnsi="Arial Narrow" w:cs="Arial"/>
                <w:color w:val="000000"/>
                <w:sz w:val="18"/>
                <w:szCs w:val="18"/>
              </w:rPr>
            </w:pPr>
            <w:r w:rsidRPr="00C479BA">
              <w:rPr>
                <w:rFonts w:ascii="Arial Narrow" w:hAnsi="Arial Narrow" w:cs="Arial"/>
                <w:color w:val="000000"/>
                <w:sz w:val="18"/>
                <w:szCs w:val="18"/>
              </w:rPr>
              <w:t>1,</w:t>
            </w:r>
            <w:r w:rsidR="008F1E55" w:rsidRPr="00C479BA">
              <w:rPr>
                <w:rFonts w:ascii="Arial Narrow" w:hAnsi="Arial Narrow" w:cs="Arial"/>
                <w:color w:val="000000"/>
                <w:sz w:val="18"/>
                <w:szCs w:val="18"/>
              </w:rPr>
              <w:t>09</w:t>
            </w:r>
          </w:p>
        </w:tc>
        <w:tc>
          <w:tcPr>
            <w:tcW w:w="1134" w:type="dxa"/>
            <w:tcBorders>
              <w:top w:val="single" w:sz="2" w:space="0" w:color="auto"/>
              <w:bottom w:val="single" w:sz="2" w:space="0" w:color="auto"/>
            </w:tcBorders>
            <w:shd w:val="clear" w:color="auto" w:fill="D9D9D9"/>
            <w:vAlign w:val="bottom"/>
          </w:tcPr>
          <w:p w14:paraId="7B0C8E3F" w14:textId="77777777" w:rsidR="00C672ED" w:rsidRPr="00C479BA" w:rsidRDefault="005A52A9" w:rsidP="00E350FA">
            <w:pPr>
              <w:spacing w:after="0" w:line="240" w:lineRule="auto"/>
              <w:jc w:val="center"/>
              <w:rPr>
                <w:rFonts w:ascii="Arial Narrow" w:hAnsi="Arial Narrow" w:cs="Arial"/>
                <w:color w:val="000000"/>
                <w:sz w:val="18"/>
                <w:szCs w:val="18"/>
              </w:rPr>
            </w:pPr>
            <w:r w:rsidRPr="00C479BA">
              <w:rPr>
                <w:rFonts w:ascii="Arial Narrow" w:hAnsi="Arial Narrow" w:cs="Arial"/>
                <w:color w:val="000000"/>
                <w:sz w:val="18"/>
                <w:szCs w:val="18"/>
              </w:rPr>
              <w:t>1,</w:t>
            </w:r>
            <w:r w:rsidR="008F1E55" w:rsidRPr="00C479BA">
              <w:rPr>
                <w:rFonts w:ascii="Arial Narrow" w:hAnsi="Arial Narrow" w:cs="Arial"/>
                <w:color w:val="000000"/>
                <w:sz w:val="18"/>
                <w:szCs w:val="18"/>
              </w:rPr>
              <w:t>09</w:t>
            </w:r>
          </w:p>
        </w:tc>
      </w:tr>
      <w:tr w:rsidR="00C672ED" w:rsidRPr="003975A0" w14:paraId="1D3B6674" w14:textId="77777777" w:rsidTr="00F30A12">
        <w:trPr>
          <w:trHeight w:val="227"/>
        </w:trPr>
        <w:tc>
          <w:tcPr>
            <w:tcW w:w="5103" w:type="dxa"/>
            <w:tcBorders>
              <w:top w:val="single" w:sz="2" w:space="0" w:color="auto"/>
              <w:bottom w:val="single" w:sz="2" w:space="0" w:color="auto"/>
            </w:tcBorders>
            <w:noWrap/>
            <w:vAlign w:val="bottom"/>
          </w:tcPr>
          <w:p w14:paraId="1A6CB201" w14:textId="77777777" w:rsidR="00C672ED" w:rsidRPr="003975A0" w:rsidRDefault="00A209CB" w:rsidP="00756F43">
            <w:pPr>
              <w:spacing w:after="0" w:line="240" w:lineRule="auto"/>
              <w:rPr>
                <w:rFonts w:ascii="Arial Narrow" w:hAnsi="Arial Narrow" w:cs="Arial"/>
                <w:sz w:val="18"/>
                <w:szCs w:val="18"/>
              </w:rPr>
            </w:pPr>
            <w:r w:rsidRPr="005A52A9">
              <w:rPr>
                <w:rFonts w:ascii="Arial Narrow" w:hAnsi="Arial Narrow" w:cs="Arial"/>
                <w:sz w:val="18"/>
                <w:szCs w:val="18"/>
              </w:rPr>
              <w:t>Commercio mondiale in volume</w:t>
            </w:r>
            <w:r w:rsidR="00AB0DFC">
              <w:rPr>
                <w:rFonts w:ascii="Arial Narrow" w:hAnsi="Arial Narrow" w:cs="Arial"/>
                <w:sz w:val="18"/>
                <w:szCs w:val="18"/>
              </w:rPr>
              <w:t>*</w:t>
            </w:r>
          </w:p>
        </w:tc>
        <w:tc>
          <w:tcPr>
            <w:tcW w:w="1134" w:type="dxa"/>
            <w:tcBorders>
              <w:top w:val="single" w:sz="2" w:space="0" w:color="auto"/>
              <w:bottom w:val="single" w:sz="2" w:space="0" w:color="auto"/>
            </w:tcBorders>
            <w:shd w:val="clear" w:color="auto" w:fill="auto"/>
            <w:noWrap/>
            <w:vAlign w:val="bottom"/>
          </w:tcPr>
          <w:p w14:paraId="56F59572" w14:textId="77777777" w:rsidR="00C672ED" w:rsidRPr="00ED7ABC" w:rsidRDefault="00AB0DFC" w:rsidP="00822A4A">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1,1</w:t>
            </w:r>
          </w:p>
        </w:tc>
        <w:tc>
          <w:tcPr>
            <w:tcW w:w="1134" w:type="dxa"/>
            <w:tcBorders>
              <w:top w:val="single" w:sz="2" w:space="0" w:color="auto"/>
              <w:bottom w:val="single" w:sz="2" w:space="0" w:color="auto"/>
            </w:tcBorders>
            <w:shd w:val="clear" w:color="auto" w:fill="D9D9D9"/>
            <w:noWrap/>
            <w:vAlign w:val="bottom"/>
          </w:tcPr>
          <w:p w14:paraId="26732263" w14:textId="77777777" w:rsidR="00C672ED" w:rsidRPr="00ED7ABC" w:rsidRDefault="00AB0DFC" w:rsidP="00822A4A">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-11,0</w:t>
            </w:r>
          </w:p>
        </w:tc>
        <w:tc>
          <w:tcPr>
            <w:tcW w:w="1134" w:type="dxa"/>
            <w:tcBorders>
              <w:top w:val="single" w:sz="2" w:space="0" w:color="auto"/>
              <w:bottom w:val="single" w:sz="2" w:space="0" w:color="auto"/>
            </w:tcBorders>
            <w:shd w:val="clear" w:color="auto" w:fill="D9D9D9"/>
            <w:vAlign w:val="bottom"/>
          </w:tcPr>
          <w:p w14:paraId="29FAFFFD" w14:textId="77777777" w:rsidR="00C672ED" w:rsidRPr="00ED7ABC" w:rsidRDefault="00AB0DFC" w:rsidP="00822A4A">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7,5</w:t>
            </w:r>
          </w:p>
        </w:tc>
      </w:tr>
      <w:tr w:rsidR="00C672ED" w:rsidRPr="003975A0" w14:paraId="01B60935" w14:textId="77777777" w:rsidTr="00F30A12">
        <w:trPr>
          <w:trHeight w:val="227"/>
        </w:trPr>
        <w:tc>
          <w:tcPr>
            <w:tcW w:w="5103" w:type="dxa"/>
            <w:tcBorders>
              <w:top w:val="single" w:sz="2" w:space="0" w:color="auto"/>
              <w:bottom w:val="single" w:sz="2" w:space="0" w:color="auto"/>
            </w:tcBorders>
            <w:noWrap/>
            <w:vAlign w:val="bottom"/>
          </w:tcPr>
          <w:p w14:paraId="0AD625F1" w14:textId="77777777" w:rsidR="00C672ED" w:rsidRPr="003975A0" w:rsidRDefault="00C672ED" w:rsidP="00E350FA">
            <w:pPr>
              <w:spacing w:after="0" w:line="240" w:lineRule="auto"/>
              <w:rPr>
                <w:rFonts w:ascii="Arial Narrow" w:hAnsi="Arial Narrow" w:cs="Arial"/>
                <w:sz w:val="18"/>
                <w:szCs w:val="18"/>
              </w:rPr>
            </w:pPr>
            <w:r w:rsidRPr="003975A0">
              <w:rPr>
                <w:rFonts w:ascii="Arial Narrow" w:hAnsi="Arial Narrow" w:cs="Arial"/>
                <w:sz w:val="16"/>
                <w:szCs w:val="16"/>
              </w:rPr>
              <w:t>PRODOTTO INTERNO LORDO</w:t>
            </w:r>
          </w:p>
        </w:tc>
        <w:tc>
          <w:tcPr>
            <w:tcW w:w="1134" w:type="dxa"/>
            <w:tcBorders>
              <w:top w:val="single" w:sz="2" w:space="0" w:color="auto"/>
              <w:bottom w:val="single" w:sz="2" w:space="0" w:color="auto"/>
            </w:tcBorders>
            <w:shd w:val="clear" w:color="auto" w:fill="auto"/>
            <w:noWrap/>
            <w:vAlign w:val="bottom"/>
          </w:tcPr>
          <w:p w14:paraId="547A520F" w14:textId="77777777" w:rsidR="00C672ED" w:rsidRPr="00ED7ABC" w:rsidRDefault="00C672ED" w:rsidP="00E350FA">
            <w:pPr>
              <w:spacing w:after="0" w:line="240" w:lineRule="auto"/>
              <w:jc w:val="center"/>
              <w:rPr>
                <w:rFonts w:ascii="Arial Narrow" w:hAnsi="Arial Narrow" w:cs="Arial"/>
                <w:color w:val="000000"/>
                <w:sz w:val="18"/>
                <w:szCs w:val="18"/>
              </w:rPr>
            </w:pPr>
          </w:p>
        </w:tc>
        <w:tc>
          <w:tcPr>
            <w:tcW w:w="1134" w:type="dxa"/>
            <w:tcBorders>
              <w:top w:val="single" w:sz="2" w:space="0" w:color="auto"/>
              <w:bottom w:val="single" w:sz="2" w:space="0" w:color="auto"/>
            </w:tcBorders>
            <w:shd w:val="clear" w:color="auto" w:fill="D9D9D9"/>
            <w:noWrap/>
            <w:vAlign w:val="bottom"/>
          </w:tcPr>
          <w:p w14:paraId="73AAFC89" w14:textId="77777777" w:rsidR="00C672ED" w:rsidRPr="00ED7ABC" w:rsidRDefault="00C672ED" w:rsidP="00E350FA">
            <w:pPr>
              <w:spacing w:after="0" w:line="240" w:lineRule="auto"/>
              <w:jc w:val="center"/>
              <w:rPr>
                <w:rFonts w:ascii="Arial Narrow" w:hAnsi="Arial Narrow" w:cs="Arial"/>
                <w:color w:val="000000"/>
                <w:sz w:val="18"/>
                <w:szCs w:val="18"/>
              </w:rPr>
            </w:pPr>
          </w:p>
        </w:tc>
        <w:tc>
          <w:tcPr>
            <w:tcW w:w="1134" w:type="dxa"/>
            <w:tcBorders>
              <w:top w:val="single" w:sz="2" w:space="0" w:color="auto"/>
              <w:bottom w:val="single" w:sz="2" w:space="0" w:color="auto"/>
            </w:tcBorders>
            <w:shd w:val="clear" w:color="auto" w:fill="D9D9D9"/>
            <w:vAlign w:val="bottom"/>
          </w:tcPr>
          <w:p w14:paraId="01A713FA" w14:textId="77777777" w:rsidR="00C672ED" w:rsidRPr="00ED7ABC" w:rsidRDefault="00C672ED" w:rsidP="00E350FA">
            <w:pPr>
              <w:spacing w:after="0" w:line="240" w:lineRule="auto"/>
              <w:jc w:val="center"/>
              <w:rPr>
                <w:rFonts w:ascii="Arial Narrow" w:hAnsi="Arial Narrow" w:cs="Arial"/>
                <w:color w:val="000000"/>
                <w:sz w:val="18"/>
                <w:szCs w:val="18"/>
              </w:rPr>
            </w:pPr>
          </w:p>
        </w:tc>
      </w:tr>
      <w:tr w:rsidR="00C672ED" w:rsidRPr="003975A0" w14:paraId="5D18BDF9" w14:textId="77777777" w:rsidTr="00F30A12">
        <w:trPr>
          <w:trHeight w:val="227"/>
        </w:trPr>
        <w:tc>
          <w:tcPr>
            <w:tcW w:w="5103" w:type="dxa"/>
            <w:tcBorders>
              <w:top w:val="single" w:sz="2" w:space="0" w:color="auto"/>
              <w:bottom w:val="single" w:sz="2" w:space="0" w:color="auto"/>
            </w:tcBorders>
            <w:noWrap/>
            <w:vAlign w:val="bottom"/>
          </w:tcPr>
          <w:p w14:paraId="3F8BF040" w14:textId="77777777" w:rsidR="00C672ED" w:rsidRPr="003975A0" w:rsidRDefault="00C672ED" w:rsidP="00E350FA">
            <w:pPr>
              <w:pStyle w:val="053tabella-figuratesto"/>
              <w:ind w:firstLine="284"/>
              <w:jc w:val="left"/>
            </w:pPr>
            <w:r w:rsidRPr="003975A0">
              <w:t xml:space="preserve">Mondo </w:t>
            </w:r>
          </w:p>
        </w:tc>
        <w:tc>
          <w:tcPr>
            <w:tcW w:w="1134" w:type="dxa"/>
            <w:tcBorders>
              <w:top w:val="single" w:sz="2" w:space="0" w:color="auto"/>
              <w:bottom w:val="single" w:sz="2" w:space="0" w:color="auto"/>
            </w:tcBorders>
            <w:shd w:val="clear" w:color="auto" w:fill="auto"/>
            <w:noWrap/>
            <w:vAlign w:val="bottom"/>
          </w:tcPr>
          <w:p w14:paraId="768C9CDA" w14:textId="77777777" w:rsidR="00C672ED" w:rsidRPr="00ED7ABC" w:rsidRDefault="00AB0DFC" w:rsidP="00D1538A">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2,9</w:t>
            </w:r>
          </w:p>
        </w:tc>
        <w:tc>
          <w:tcPr>
            <w:tcW w:w="1134" w:type="dxa"/>
            <w:tcBorders>
              <w:top w:val="single" w:sz="2" w:space="0" w:color="auto"/>
              <w:bottom w:val="single" w:sz="2" w:space="0" w:color="auto"/>
            </w:tcBorders>
            <w:shd w:val="clear" w:color="auto" w:fill="D9D9D9"/>
            <w:noWrap/>
            <w:vAlign w:val="bottom"/>
          </w:tcPr>
          <w:p w14:paraId="0B6A415F" w14:textId="77777777" w:rsidR="00C672ED" w:rsidRPr="00ED7ABC" w:rsidRDefault="00AB0DFC" w:rsidP="00E350FA">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-3,5</w:t>
            </w:r>
          </w:p>
        </w:tc>
        <w:tc>
          <w:tcPr>
            <w:tcW w:w="1134" w:type="dxa"/>
            <w:tcBorders>
              <w:top w:val="single" w:sz="2" w:space="0" w:color="auto"/>
              <w:bottom w:val="single" w:sz="2" w:space="0" w:color="auto"/>
            </w:tcBorders>
            <w:shd w:val="clear" w:color="auto" w:fill="D9D9D9"/>
            <w:vAlign w:val="bottom"/>
          </w:tcPr>
          <w:p w14:paraId="065A9BD4" w14:textId="77777777" w:rsidR="00C672ED" w:rsidRPr="00ED7ABC" w:rsidRDefault="00AB0DFC" w:rsidP="00D1538A">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5,2</w:t>
            </w:r>
          </w:p>
        </w:tc>
      </w:tr>
      <w:tr w:rsidR="00D1538A" w:rsidRPr="003975A0" w14:paraId="6AB5FB88" w14:textId="77777777" w:rsidTr="00F30A12">
        <w:trPr>
          <w:trHeight w:val="227"/>
        </w:trPr>
        <w:tc>
          <w:tcPr>
            <w:tcW w:w="5103" w:type="dxa"/>
            <w:tcBorders>
              <w:top w:val="single" w:sz="2" w:space="0" w:color="auto"/>
              <w:bottom w:val="single" w:sz="2" w:space="0" w:color="auto"/>
            </w:tcBorders>
            <w:noWrap/>
            <w:vAlign w:val="bottom"/>
          </w:tcPr>
          <w:p w14:paraId="193CEEDF" w14:textId="77777777" w:rsidR="00D1538A" w:rsidRPr="003975A0" w:rsidRDefault="00D1538A" w:rsidP="00E350FA">
            <w:pPr>
              <w:pStyle w:val="053tabella-figuratesto"/>
              <w:ind w:firstLine="284"/>
              <w:jc w:val="left"/>
            </w:pPr>
            <w:r w:rsidRPr="003975A0">
              <w:t xml:space="preserve">Paesi avanzati </w:t>
            </w:r>
          </w:p>
        </w:tc>
        <w:tc>
          <w:tcPr>
            <w:tcW w:w="1134" w:type="dxa"/>
            <w:tcBorders>
              <w:top w:val="single" w:sz="2" w:space="0" w:color="auto"/>
              <w:bottom w:val="single" w:sz="2" w:space="0" w:color="auto"/>
            </w:tcBorders>
            <w:shd w:val="clear" w:color="auto" w:fill="auto"/>
            <w:noWrap/>
            <w:vAlign w:val="bottom"/>
          </w:tcPr>
          <w:p w14:paraId="51A4ACB0" w14:textId="77777777" w:rsidR="00D1538A" w:rsidRPr="00ED7ABC" w:rsidRDefault="00AB0DFC" w:rsidP="00FA0D67">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1,7</w:t>
            </w:r>
          </w:p>
        </w:tc>
        <w:tc>
          <w:tcPr>
            <w:tcW w:w="1134" w:type="dxa"/>
            <w:tcBorders>
              <w:top w:val="single" w:sz="2" w:space="0" w:color="auto"/>
              <w:bottom w:val="single" w:sz="2" w:space="0" w:color="auto"/>
            </w:tcBorders>
            <w:shd w:val="clear" w:color="auto" w:fill="D9D9D9"/>
            <w:noWrap/>
            <w:vAlign w:val="bottom"/>
          </w:tcPr>
          <w:p w14:paraId="3581C750" w14:textId="77777777" w:rsidR="00D1538A" w:rsidRPr="00ED7ABC" w:rsidRDefault="00AB0DFC" w:rsidP="00FA0D67">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-6,4</w:t>
            </w:r>
          </w:p>
        </w:tc>
        <w:tc>
          <w:tcPr>
            <w:tcW w:w="1134" w:type="dxa"/>
            <w:tcBorders>
              <w:top w:val="single" w:sz="2" w:space="0" w:color="auto"/>
              <w:bottom w:val="single" w:sz="2" w:space="0" w:color="auto"/>
            </w:tcBorders>
            <w:shd w:val="clear" w:color="auto" w:fill="D9D9D9"/>
            <w:vAlign w:val="bottom"/>
          </w:tcPr>
          <w:p w14:paraId="4EC806B4" w14:textId="77777777" w:rsidR="00D1538A" w:rsidRPr="00ED7ABC" w:rsidRDefault="00AB0DFC" w:rsidP="00FA0D67">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5,0</w:t>
            </w:r>
          </w:p>
        </w:tc>
      </w:tr>
      <w:tr w:rsidR="00D1538A" w:rsidRPr="003975A0" w14:paraId="23808FBD" w14:textId="77777777" w:rsidTr="00F30A12">
        <w:trPr>
          <w:trHeight w:val="227"/>
        </w:trPr>
        <w:tc>
          <w:tcPr>
            <w:tcW w:w="5103" w:type="dxa"/>
            <w:tcBorders>
              <w:top w:val="single" w:sz="2" w:space="0" w:color="auto"/>
              <w:bottom w:val="single" w:sz="2" w:space="0" w:color="auto"/>
            </w:tcBorders>
            <w:noWrap/>
            <w:vAlign w:val="bottom"/>
          </w:tcPr>
          <w:p w14:paraId="627F8FEF" w14:textId="77777777" w:rsidR="00D1538A" w:rsidRPr="003975A0" w:rsidRDefault="00D1538A" w:rsidP="00E350FA">
            <w:pPr>
              <w:pStyle w:val="053tabella-figuratesto"/>
              <w:ind w:firstLine="284"/>
              <w:jc w:val="left"/>
            </w:pPr>
            <w:r w:rsidRPr="003975A0">
              <w:t>USA</w:t>
            </w:r>
          </w:p>
        </w:tc>
        <w:tc>
          <w:tcPr>
            <w:tcW w:w="1134" w:type="dxa"/>
            <w:tcBorders>
              <w:top w:val="single" w:sz="2" w:space="0" w:color="auto"/>
              <w:bottom w:val="single" w:sz="2" w:space="0" w:color="auto"/>
            </w:tcBorders>
            <w:shd w:val="clear" w:color="auto" w:fill="auto"/>
            <w:noWrap/>
            <w:vAlign w:val="bottom"/>
          </w:tcPr>
          <w:p w14:paraId="52C1A382" w14:textId="77777777" w:rsidR="00D1538A" w:rsidRPr="00ED7ABC" w:rsidRDefault="00D1538A" w:rsidP="00FA0D67">
            <w:pPr>
              <w:spacing w:after="0" w:line="240" w:lineRule="auto"/>
              <w:jc w:val="center"/>
              <w:rPr>
                <w:rFonts w:ascii="Arial Narrow" w:hAnsi="Arial Narrow" w:cs="Arial"/>
                <w:color w:val="000000"/>
                <w:sz w:val="18"/>
                <w:szCs w:val="18"/>
              </w:rPr>
            </w:pPr>
            <w:r w:rsidRPr="00ED7ABC">
              <w:rPr>
                <w:rFonts w:ascii="Arial Narrow" w:hAnsi="Arial Narrow" w:cs="Arial"/>
                <w:sz w:val="18"/>
                <w:szCs w:val="18"/>
              </w:rPr>
              <w:t>2</w:t>
            </w:r>
            <w:r w:rsidR="00FA0D67" w:rsidRPr="00ED7ABC">
              <w:rPr>
                <w:rFonts w:ascii="Arial Narrow" w:hAnsi="Arial Narrow" w:cs="Arial"/>
                <w:sz w:val="18"/>
                <w:szCs w:val="18"/>
              </w:rPr>
              <w:t>,</w:t>
            </w:r>
            <w:r w:rsidR="00AB0DFC" w:rsidRPr="00ED7ABC">
              <w:rPr>
                <w:rFonts w:ascii="Arial Narrow" w:hAnsi="Arial Narrow" w:cs="Arial"/>
                <w:sz w:val="18"/>
                <w:szCs w:val="18"/>
              </w:rPr>
              <w:t>3</w:t>
            </w:r>
          </w:p>
        </w:tc>
        <w:tc>
          <w:tcPr>
            <w:tcW w:w="1134" w:type="dxa"/>
            <w:tcBorders>
              <w:top w:val="single" w:sz="2" w:space="0" w:color="auto"/>
              <w:bottom w:val="single" w:sz="2" w:space="0" w:color="auto"/>
            </w:tcBorders>
            <w:shd w:val="clear" w:color="auto" w:fill="D9D9D9"/>
            <w:noWrap/>
            <w:vAlign w:val="bottom"/>
          </w:tcPr>
          <w:p w14:paraId="69AA8A57" w14:textId="77777777" w:rsidR="00D1538A" w:rsidRPr="00ED7ABC" w:rsidRDefault="00AB0DFC" w:rsidP="00FA0D67">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-6,5</w:t>
            </w:r>
          </w:p>
        </w:tc>
        <w:tc>
          <w:tcPr>
            <w:tcW w:w="1134" w:type="dxa"/>
            <w:tcBorders>
              <w:top w:val="single" w:sz="2" w:space="0" w:color="auto"/>
              <w:bottom w:val="single" w:sz="2" w:space="0" w:color="auto"/>
            </w:tcBorders>
            <w:shd w:val="clear" w:color="auto" w:fill="D9D9D9"/>
            <w:vAlign w:val="bottom"/>
          </w:tcPr>
          <w:p w14:paraId="4E8A1CD2" w14:textId="77777777" w:rsidR="00D1538A" w:rsidRPr="00ED7ABC" w:rsidRDefault="00AB0DFC" w:rsidP="00FA0D67">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4,9</w:t>
            </w:r>
          </w:p>
        </w:tc>
      </w:tr>
      <w:tr w:rsidR="00D1538A" w:rsidRPr="003975A0" w14:paraId="293E60B8" w14:textId="77777777" w:rsidTr="00F30A12">
        <w:trPr>
          <w:trHeight w:val="227"/>
        </w:trPr>
        <w:tc>
          <w:tcPr>
            <w:tcW w:w="5103" w:type="dxa"/>
            <w:tcBorders>
              <w:top w:val="single" w:sz="2" w:space="0" w:color="auto"/>
              <w:bottom w:val="single" w:sz="2" w:space="0" w:color="auto"/>
            </w:tcBorders>
            <w:noWrap/>
            <w:vAlign w:val="bottom"/>
          </w:tcPr>
          <w:p w14:paraId="16170B45" w14:textId="77777777" w:rsidR="00D1538A" w:rsidRPr="003975A0" w:rsidRDefault="00D1538A" w:rsidP="00E350FA">
            <w:pPr>
              <w:pStyle w:val="053tabella-figuratesto"/>
              <w:ind w:firstLine="284"/>
              <w:jc w:val="left"/>
            </w:pPr>
            <w:r w:rsidRPr="003975A0">
              <w:t>Giappone</w:t>
            </w:r>
          </w:p>
        </w:tc>
        <w:tc>
          <w:tcPr>
            <w:tcW w:w="1134" w:type="dxa"/>
            <w:tcBorders>
              <w:top w:val="single" w:sz="2" w:space="0" w:color="auto"/>
              <w:bottom w:val="single" w:sz="2" w:space="0" w:color="auto"/>
            </w:tcBorders>
            <w:shd w:val="clear" w:color="auto" w:fill="auto"/>
            <w:noWrap/>
            <w:vAlign w:val="bottom"/>
          </w:tcPr>
          <w:p w14:paraId="0D182618" w14:textId="77777777" w:rsidR="00D1538A" w:rsidRPr="00ED7ABC" w:rsidRDefault="003B7C53" w:rsidP="00FA0D67">
            <w:pPr>
              <w:spacing w:after="0" w:line="240" w:lineRule="auto"/>
              <w:jc w:val="center"/>
              <w:rPr>
                <w:rFonts w:ascii="Arial Narrow" w:hAnsi="Arial Narrow" w:cs="Arial"/>
                <w:color w:val="000000"/>
                <w:sz w:val="18"/>
                <w:szCs w:val="18"/>
              </w:rPr>
            </w:pPr>
            <w:r w:rsidRPr="00ED7ABC">
              <w:rPr>
                <w:rFonts w:ascii="Arial Narrow" w:hAnsi="Arial Narrow" w:cs="Arial"/>
                <w:sz w:val="18"/>
                <w:szCs w:val="18"/>
              </w:rPr>
              <w:t>0,</w:t>
            </w:r>
            <w:r w:rsidR="00AB0DFC" w:rsidRPr="00ED7ABC">
              <w:rPr>
                <w:rFonts w:ascii="Arial Narrow" w:hAnsi="Arial Narrow" w:cs="Arial"/>
                <w:sz w:val="18"/>
                <w:szCs w:val="18"/>
              </w:rPr>
              <w:t>7</w:t>
            </w:r>
          </w:p>
        </w:tc>
        <w:tc>
          <w:tcPr>
            <w:tcW w:w="1134" w:type="dxa"/>
            <w:tcBorders>
              <w:top w:val="single" w:sz="2" w:space="0" w:color="auto"/>
              <w:bottom w:val="single" w:sz="2" w:space="0" w:color="auto"/>
            </w:tcBorders>
            <w:shd w:val="clear" w:color="auto" w:fill="D9D9D9"/>
            <w:noWrap/>
            <w:vAlign w:val="bottom"/>
          </w:tcPr>
          <w:p w14:paraId="727A19E4" w14:textId="77777777" w:rsidR="00D1538A" w:rsidRPr="00ED7ABC" w:rsidRDefault="00AB0DFC" w:rsidP="00FA0D67">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-5,0</w:t>
            </w:r>
          </w:p>
        </w:tc>
        <w:tc>
          <w:tcPr>
            <w:tcW w:w="1134" w:type="dxa"/>
            <w:tcBorders>
              <w:top w:val="single" w:sz="2" w:space="0" w:color="auto"/>
              <w:bottom w:val="single" w:sz="2" w:space="0" w:color="auto"/>
            </w:tcBorders>
            <w:shd w:val="clear" w:color="auto" w:fill="D9D9D9"/>
            <w:vAlign w:val="bottom"/>
          </w:tcPr>
          <w:p w14:paraId="5140425A" w14:textId="77777777" w:rsidR="00D1538A" w:rsidRPr="00ED7ABC" w:rsidRDefault="00AB0DFC" w:rsidP="00FA0D67">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2,7</w:t>
            </w:r>
          </w:p>
        </w:tc>
      </w:tr>
      <w:tr w:rsidR="00D1538A" w:rsidRPr="003975A0" w14:paraId="6B9793A0" w14:textId="77777777" w:rsidTr="00F30A12">
        <w:trPr>
          <w:trHeight w:val="227"/>
        </w:trPr>
        <w:tc>
          <w:tcPr>
            <w:tcW w:w="5103" w:type="dxa"/>
            <w:tcBorders>
              <w:top w:val="single" w:sz="2" w:space="0" w:color="auto"/>
              <w:bottom w:val="single" w:sz="2" w:space="0" w:color="auto"/>
            </w:tcBorders>
            <w:noWrap/>
            <w:vAlign w:val="bottom"/>
          </w:tcPr>
          <w:p w14:paraId="59114D81" w14:textId="77777777" w:rsidR="00D1538A" w:rsidRPr="003975A0" w:rsidRDefault="00D1538A" w:rsidP="00E350FA">
            <w:pPr>
              <w:pStyle w:val="053tabella-figuratesto"/>
              <w:ind w:firstLine="284"/>
              <w:jc w:val="left"/>
            </w:pPr>
            <w:r w:rsidRPr="003975A0">
              <w:t>Area Euro</w:t>
            </w:r>
          </w:p>
        </w:tc>
        <w:tc>
          <w:tcPr>
            <w:tcW w:w="1134" w:type="dxa"/>
            <w:tcBorders>
              <w:top w:val="single" w:sz="2" w:space="0" w:color="auto"/>
              <w:bottom w:val="single" w:sz="2" w:space="0" w:color="auto"/>
            </w:tcBorders>
            <w:shd w:val="clear" w:color="auto" w:fill="auto"/>
            <w:noWrap/>
            <w:vAlign w:val="bottom"/>
          </w:tcPr>
          <w:p w14:paraId="07D745D4" w14:textId="77777777" w:rsidR="00D1538A" w:rsidRPr="00ED7ABC" w:rsidRDefault="003B7C53" w:rsidP="00FA0D67">
            <w:pPr>
              <w:spacing w:after="0" w:line="240" w:lineRule="auto"/>
              <w:jc w:val="center"/>
              <w:rPr>
                <w:rFonts w:ascii="Arial Narrow" w:hAnsi="Arial Narrow" w:cs="Arial"/>
                <w:color w:val="000000"/>
                <w:sz w:val="18"/>
                <w:szCs w:val="18"/>
              </w:rPr>
            </w:pPr>
            <w:r w:rsidRPr="00ED7ABC">
              <w:rPr>
                <w:rFonts w:ascii="Arial Narrow" w:hAnsi="Arial Narrow" w:cs="Arial"/>
                <w:sz w:val="18"/>
                <w:szCs w:val="18"/>
              </w:rPr>
              <w:t>1,</w:t>
            </w:r>
            <w:r w:rsidR="00AB0DFC" w:rsidRPr="00ED7ABC">
              <w:rPr>
                <w:rFonts w:ascii="Arial Narrow" w:hAnsi="Arial Narrow" w:cs="Arial"/>
                <w:sz w:val="18"/>
                <w:szCs w:val="18"/>
              </w:rPr>
              <w:t>2</w:t>
            </w:r>
          </w:p>
        </w:tc>
        <w:tc>
          <w:tcPr>
            <w:tcW w:w="1134" w:type="dxa"/>
            <w:tcBorders>
              <w:top w:val="single" w:sz="2" w:space="0" w:color="auto"/>
              <w:bottom w:val="single" w:sz="2" w:space="0" w:color="auto"/>
            </w:tcBorders>
            <w:shd w:val="clear" w:color="auto" w:fill="D9D9D9"/>
            <w:noWrap/>
            <w:vAlign w:val="bottom"/>
          </w:tcPr>
          <w:p w14:paraId="689E8212" w14:textId="77777777" w:rsidR="00D1538A" w:rsidRPr="00ED7ABC" w:rsidRDefault="00AB0DFC" w:rsidP="00FA0D67">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-7,7</w:t>
            </w:r>
          </w:p>
        </w:tc>
        <w:tc>
          <w:tcPr>
            <w:tcW w:w="1134" w:type="dxa"/>
            <w:tcBorders>
              <w:top w:val="single" w:sz="2" w:space="0" w:color="auto"/>
              <w:bottom w:val="single" w:sz="2" w:space="0" w:color="auto"/>
            </w:tcBorders>
            <w:shd w:val="clear" w:color="auto" w:fill="D9D9D9"/>
            <w:vAlign w:val="bottom"/>
          </w:tcPr>
          <w:p w14:paraId="23F0E540" w14:textId="77777777" w:rsidR="00D1538A" w:rsidRPr="00ED7ABC" w:rsidRDefault="00AB0DFC" w:rsidP="00FA0D67">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6,3</w:t>
            </w:r>
          </w:p>
        </w:tc>
      </w:tr>
      <w:tr w:rsidR="00D1538A" w:rsidRPr="003975A0" w14:paraId="449BD30F" w14:textId="77777777" w:rsidTr="00F30A12">
        <w:trPr>
          <w:trHeight w:val="227"/>
        </w:trPr>
        <w:tc>
          <w:tcPr>
            <w:tcW w:w="5103" w:type="dxa"/>
            <w:tcBorders>
              <w:top w:val="single" w:sz="2" w:space="0" w:color="auto"/>
              <w:bottom w:val="single" w:sz="6" w:space="0" w:color="auto"/>
            </w:tcBorders>
            <w:noWrap/>
            <w:vAlign w:val="bottom"/>
          </w:tcPr>
          <w:p w14:paraId="310756FD" w14:textId="77777777" w:rsidR="00D1538A" w:rsidRPr="003975A0" w:rsidRDefault="00D1538A" w:rsidP="00E350FA">
            <w:pPr>
              <w:pStyle w:val="053tabella-figuratesto"/>
              <w:ind w:firstLine="284"/>
              <w:jc w:val="left"/>
            </w:pPr>
            <w:r w:rsidRPr="003975A0">
              <w:t xml:space="preserve">Paesi emergenti </w:t>
            </w:r>
            <w:r w:rsidR="00A209CB">
              <w:t>e in via di sviluppo</w:t>
            </w:r>
          </w:p>
        </w:tc>
        <w:tc>
          <w:tcPr>
            <w:tcW w:w="1134" w:type="dxa"/>
            <w:tcBorders>
              <w:top w:val="single" w:sz="2" w:space="0" w:color="auto"/>
              <w:bottom w:val="single" w:sz="6" w:space="0" w:color="auto"/>
            </w:tcBorders>
            <w:shd w:val="clear" w:color="auto" w:fill="auto"/>
            <w:noWrap/>
            <w:vAlign w:val="bottom"/>
          </w:tcPr>
          <w:p w14:paraId="01A0F71D" w14:textId="77777777" w:rsidR="00D1538A" w:rsidRPr="00ED7ABC" w:rsidRDefault="00AB0DFC" w:rsidP="00FA0D67">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3,7</w:t>
            </w:r>
          </w:p>
        </w:tc>
        <w:tc>
          <w:tcPr>
            <w:tcW w:w="1134" w:type="dxa"/>
            <w:tcBorders>
              <w:top w:val="single" w:sz="2" w:space="0" w:color="auto"/>
              <w:bottom w:val="single" w:sz="6" w:space="0" w:color="auto"/>
            </w:tcBorders>
            <w:shd w:val="clear" w:color="auto" w:fill="D9D9D9"/>
            <w:noWrap/>
            <w:vAlign w:val="bottom"/>
          </w:tcPr>
          <w:p w14:paraId="1734C6CA" w14:textId="77777777" w:rsidR="00D1538A" w:rsidRPr="00ED7ABC" w:rsidRDefault="00AB0DFC" w:rsidP="00FA0D67">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-1,3</w:t>
            </w:r>
          </w:p>
        </w:tc>
        <w:tc>
          <w:tcPr>
            <w:tcW w:w="1134" w:type="dxa"/>
            <w:tcBorders>
              <w:top w:val="single" w:sz="2" w:space="0" w:color="auto"/>
              <w:bottom w:val="single" w:sz="6" w:space="0" w:color="auto"/>
            </w:tcBorders>
            <w:shd w:val="clear" w:color="auto" w:fill="D9D9D9"/>
            <w:vAlign w:val="bottom"/>
          </w:tcPr>
          <w:p w14:paraId="5EBAF026" w14:textId="77777777" w:rsidR="00D1538A" w:rsidRPr="00ED7ABC" w:rsidRDefault="00AB0DFC" w:rsidP="00FA0D67">
            <w:pPr>
              <w:spacing w:after="0" w:line="240" w:lineRule="auto"/>
              <w:jc w:val="center"/>
              <w:rPr>
                <w:rFonts w:ascii="Arial Narrow" w:hAnsi="Arial Narrow" w:cs="Arial"/>
                <w:color w:val="000000"/>
                <w:sz w:val="18"/>
                <w:szCs w:val="18"/>
              </w:rPr>
            </w:pPr>
            <w:r w:rsidRPr="00ED7ABC">
              <w:rPr>
                <w:rFonts w:ascii="Arial Narrow" w:hAnsi="Arial Narrow" w:cs="Arial"/>
                <w:color w:val="000000"/>
                <w:sz w:val="18"/>
                <w:szCs w:val="18"/>
              </w:rPr>
              <w:t>5,3</w:t>
            </w:r>
          </w:p>
        </w:tc>
      </w:tr>
    </w:tbl>
    <w:p w14:paraId="28FCC22A" w14:textId="77777777" w:rsidR="00C672ED" w:rsidRDefault="00C672ED" w:rsidP="00C672ED">
      <w:pPr>
        <w:pStyle w:val="054tabella-figuranote"/>
      </w:pPr>
      <w:r w:rsidRPr="00B2521A">
        <w:t xml:space="preserve">Fonte: DG-ECFIN </w:t>
      </w:r>
      <w:r w:rsidR="006B75CB">
        <w:t xml:space="preserve">Spring </w:t>
      </w:r>
      <w:r w:rsidRPr="00B2521A">
        <w:t xml:space="preserve">Forecasts </w:t>
      </w:r>
      <w:r w:rsidR="00DC1CB5">
        <w:t>(20</w:t>
      </w:r>
      <w:r w:rsidR="006B75CB">
        <w:t>20</w:t>
      </w:r>
      <w:r w:rsidR="00DC1CB5">
        <w:t xml:space="preserve">) </w:t>
      </w:r>
      <w:r w:rsidRPr="00B2521A">
        <w:t>ed elaborazioni Istat</w:t>
      </w:r>
    </w:p>
    <w:p w14:paraId="03B18553" w14:textId="77777777" w:rsidR="005A52A9" w:rsidRDefault="00756F43" w:rsidP="00756F43">
      <w:pPr>
        <w:pStyle w:val="054tabella-figuranote"/>
        <w:ind w:left="1890" w:firstLine="0"/>
      </w:pPr>
      <w:r w:rsidRPr="005A52A9">
        <w:rPr>
          <w:sz w:val="18"/>
          <w:szCs w:val="18"/>
        </w:rPr>
        <w:t>*</w:t>
      </w:r>
      <w:r>
        <w:rPr>
          <w:sz w:val="18"/>
          <w:szCs w:val="18"/>
        </w:rPr>
        <w:tab/>
      </w:r>
      <w:r w:rsidR="005A52A9">
        <w:t>Importazioni mondiali di beni e servizi in volume</w:t>
      </w:r>
    </w:p>
    <w:p w14:paraId="4C54803E" w14:textId="77777777" w:rsidR="005A1E23" w:rsidRPr="00756F43" w:rsidRDefault="005A1E23" w:rsidP="00756F43">
      <w:pPr>
        <w:pStyle w:val="01testo"/>
        <w:spacing w:after="0"/>
        <w:rPr>
          <w:spacing w:val="-4"/>
        </w:rPr>
      </w:pPr>
    </w:p>
    <w:p w14:paraId="60C8A21D" w14:textId="77777777" w:rsidR="00A27700" w:rsidRDefault="003060DE" w:rsidP="003060DE">
      <w:pPr>
        <w:pStyle w:val="01testo"/>
        <w:rPr>
          <w:rFonts w:cs="Calibri"/>
          <w:spacing w:val="2"/>
        </w:rPr>
      </w:pPr>
      <w:r w:rsidRPr="00406DC6">
        <w:rPr>
          <w:rFonts w:cs="Calibri"/>
          <w:spacing w:val="2"/>
        </w:rPr>
        <w:t xml:space="preserve">Nella media dello scorso anno, il </w:t>
      </w:r>
      <w:r w:rsidR="00811C1D">
        <w:rPr>
          <w:rFonts w:cs="Calibri"/>
          <w:spacing w:val="2"/>
        </w:rPr>
        <w:t xml:space="preserve">tasso di </w:t>
      </w:r>
      <w:r w:rsidRPr="00406DC6">
        <w:rPr>
          <w:rFonts w:cs="Calibri"/>
          <w:spacing w:val="2"/>
        </w:rPr>
        <w:t>cambio si è attestato a 1,1</w:t>
      </w:r>
      <w:r w:rsidR="00B76784">
        <w:rPr>
          <w:rFonts w:cs="Calibri"/>
          <w:spacing w:val="2"/>
        </w:rPr>
        <w:t>2</w:t>
      </w:r>
      <w:r w:rsidRPr="00406DC6">
        <w:rPr>
          <w:rFonts w:cs="Calibri"/>
          <w:spacing w:val="2"/>
        </w:rPr>
        <w:t xml:space="preserve"> dollari per euro</w:t>
      </w:r>
      <w:r w:rsidR="00322DC4">
        <w:rPr>
          <w:rFonts w:cs="Calibri"/>
          <w:spacing w:val="2"/>
        </w:rPr>
        <w:t xml:space="preserve"> mentre</w:t>
      </w:r>
      <w:r w:rsidRPr="00406DC6">
        <w:rPr>
          <w:rFonts w:cs="Calibri"/>
          <w:spacing w:val="2"/>
        </w:rPr>
        <w:t xml:space="preserve"> </w:t>
      </w:r>
      <w:r w:rsidR="00B76784">
        <w:rPr>
          <w:rFonts w:cs="Calibri"/>
          <w:spacing w:val="2"/>
        </w:rPr>
        <w:t>p</w:t>
      </w:r>
      <w:r w:rsidRPr="00011FA4">
        <w:rPr>
          <w:rFonts w:cs="Calibri"/>
          <w:spacing w:val="2"/>
        </w:rPr>
        <w:t xml:space="preserve">er </w:t>
      </w:r>
      <w:r w:rsidR="00261834">
        <w:rPr>
          <w:rFonts w:cs="Calibri"/>
          <w:spacing w:val="2"/>
        </w:rPr>
        <w:t>il 20</w:t>
      </w:r>
      <w:r w:rsidR="00B76784">
        <w:rPr>
          <w:rFonts w:cs="Calibri"/>
          <w:spacing w:val="2"/>
        </w:rPr>
        <w:t>20</w:t>
      </w:r>
      <w:r w:rsidR="00011FA4">
        <w:rPr>
          <w:rFonts w:cs="Calibri"/>
          <w:spacing w:val="2"/>
        </w:rPr>
        <w:t>, in base all’ipotesi tecnica sottostante la previsione,</w:t>
      </w:r>
      <w:r w:rsidRPr="00011FA4">
        <w:rPr>
          <w:rFonts w:cs="Calibri"/>
          <w:spacing w:val="2"/>
        </w:rPr>
        <w:t xml:space="preserve"> </w:t>
      </w:r>
      <w:r w:rsidR="00322DC4">
        <w:rPr>
          <w:rFonts w:cs="Calibri"/>
          <w:spacing w:val="2"/>
        </w:rPr>
        <w:t xml:space="preserve">si stima un marginale </w:t>
      </w:r>
      <w:r w:rsidR="00A214A6">
        <w:rPr>
          <w:rFonts w:cs="Calibri"/>
          <w:spacing w:val="2"/>
        </w:rPr>
        <w:t xml:space="preserve">deprezzamento dell’euro </w:t>
      </w:r>
      <w:r w:rsidR="00322DC4">
        <w:rPr>
          <w:rFonts w:cs="Calibri"/>
          <w:spacing w:val="2"/>
        </w:rPr>
        <w:t>fino</w:t>
      </w:r>
      <w:r w:rsidR="00607501" w:rsidRPr="00011FA4">
        <w:rPr>
          <w:rFonts w:cs="Calibri"/>
          <w:spacing w:val="2"/>
        </w:rPr>
        <w:t xml:space="preserve"> </w:t>
      </w:r>
      <w:r w:rsidR="005A52A9" w:rsidRPr="00011FA4">
        <w:rPr>
          <w:rFonts w:cs="Calibri"/>
          <w:spacing w:val="2"/>
        </w:rPr>
        <w:t>a 1,</w:t>
      </w:r>
      <w:r w:rsidR="00B76784">
        <w:rPr>
          <w:rFonts w:cs="Calibri"/>
          <w:spacing w:val="2"/>
        </w:rPr>
        <w:t>09</w:t>
      </w:r>
      <w:r w:rsidR="00607501" w:rsidRPr="00261834">
        <w:rPr>
          <w:rFonts w:cs="Calibri"/>
          <w:spacing w:val="2"/>
        </w:rPr>
        <w:t xml:space="preserve"> </w:t>
      </w:r>
      <w:r w:rsidR="00261834" w:rsidRPr="00406DC6">
        <w:rPr>
          <w:rFonts w:cs="Calibri"/>
          <w:spacing w:val="2"/>
        </w:rPr>
        <w:t>dollari</w:t>
      </w:r>
      <w:r w:rsidR="00607501">
        <w:rPr>
          <w:rFonts w:cs="Calibri"/>
          <w:spacing w:val="2"/>
        </w:rPr>
        <w:t xml:space="preserve"> quest’anno</w:t>
      </w:r>
      <w:r w:rsidR="005A52A9" w:rsidRPr="00011FA4">
        <w:rPr>
          <w:rFonts w:cs="Calibri"/>
          <w:spacing w:val="2"/>
        </w:rPr>
        <w:t xml:space="preserve"> </w:t>
      </w:r>
      <w:r w:rsidR="00BF54A7">
        <w:rPr>
          <w:rFonts w:cs="Calibri"/>
          <w:spacing w:val="2"/>
        </w:rPr>
        <w:t>e</w:t>
      </w:r>
      <w:r w:rsidR="005A52A9" w:rsidRPr="00011FA4">
        <w:rPr>
          <w:rFonts w:cs="Calibri"/>
          <w:spacing w:val="2"/>
        </w:rPr>
        <w:t xml:space="preserve"> poi </w:t>
      </w:r>
      <w:r w:rsidR="00A214A6">
        <w:rPr>
          <w:rFonts w:cs="Calibri"/>
          <w:spacing w:val="2"/>
        </w:rPr>
        <w:t>una stabilizzazione</w:t>
      </w:r>
      <w:r w:rsidR="00A214A6" w:rsidRPr="00011FA4">
        <w:rPr>
          <w:rFonts w:cs="Calibri"/>
          <w:spacing w:val="2"/>
        </w:rPr>
        <w:t xml:space="preserve"> </w:t>
      </w:r>
      <w:r w:rsidR="005A52A9" w:rsidRPr="00011FA4">
        <w:rPr>
          <w:rFonts w:cs="Calibri"/>
          <w:spacing w:val="2"/>
        </w:rPr>
        <w:t>l’anno successivo.</w:t>
      </w:r>
      <w:r w:rsidRPr="007F0D4C">
        <w:rPr>
          <w:rFonts w:cs="Calibri"/>
          <w:spacing w:val="2"/>
        </w:rPr>
        <w:t xml:space="preserve"> </w:t>
      </w:r>
    </w:p>
    <w:p w14:paraId="0C001957" w14:textId="77777777" w:rsidR="003060DE" w:rsidRPr="008B794C" w:rsidRDefault="00322DC4" w:rsidP="003060DE">
      <w:pPr>
        <w:pStyle w:val="01testo"/>
        <w:rPr>
          <w:rFonts w:cs="Calibri"/>
          <w:spacing w:val="-2"/>
        </w:rPr>
      </w:pPr>
      <w:r w:rsidRPr="008B794C">
        <w:rPr>
          <w:rFonts w:cs="Calibri"/>
          <w:spacing w:val="-2"/>
        </w:rPr>
        <w:t>L</w:t>
      </w:r>
      <w:r w:rsidR="00B76784" w:rsidRPr="008B794C">
        <w:rPr>
          <w:spacing w:val="-2"/>
        </w:rPr>
        <w:t xml:space="preserve">e misure di contenimento dell’epidemia hanno determinato una fortissima contrazione della domanda di petrolio con effetti negativi sulle quotazioni. </w:t>
      </w:r>
      <w:r w:rsidRPr="008B794C">
        <w:rPr>
          <w:spacing w:val="-2"/>
        </w:rPr>
        <w:t>L</w:t>
      </w:r>
      <w:r w:rsidR="00B76784" w:rsidRPr="008B794C">
        <w:rPr>
          <w:spacing w:val="-2"/>
        </w:rPr>
        <w:t>e pressioni al ribasso sono state accentuate dalla rottura degli accordi OPEC (innescati dall’uscita della Russia dall’OPEC+ a marzo) che di fatto ha eliminato i vincoli dal lato dell’offerta.</w:t>
      </w:r>
      <w:r w:rsidR="007D0F23" w:rsidRPr="008B794C">
        <w:rPr>
          <w:rFonts w:cs="Calibri"/>
          <w:spacing w:val="-2"/>
        </w:rPr>
        <w:t xml:space="preserve"> </w:t>
      </w:r>
      <w:r w:rsidR="003060DE" w:rsidRPr="008B794C">
        <w:rPr>
          <w:rFonts w:cs="Calibri"/>
          <w:spacing w:val="-2"/>
        </w:rPr>
        <w:t>Il prezzo del Brent</w:t>
      </w:r>
      <w:r w:rsidR="00367574" w:rsidRPr="008B794C">
        <w:rPr>
          <w:rFonts w:cs="Calibri"/>
          <w:spacing w:val="-2"/>
        </w:rPr>
        <w:t>,</w:t>
      </w:r>
      <w:r w:rsidR="003060DE" w:rsidRPr="008B794C">
        <w:rPr>
          <w:rFonts w:cs="Calibri"/>
          <w:spacing w:val="-2"/>
        </w:rPr>
        <w:t xml:space="preserve"> che nella media del 201</w:t>
      </w:r>
      <w:r w:rsidR="002444FA" w:rsidRPr="008B794C">
        <w:rPr>
          <w:rFonts w:cs="Calibri"/>
          <w:spacing w:val="-2"/>
        </w:rPr>
        <w:t>9</w:t>
      </w:r>
      <w:r w:rsidR="003060DE" w:rsidRPr="008B794C">
        <w:rPr>
          <w:rFonts w:cs="Calibri"/>
          <w:spacing w:val="-2"/>
        </w:rPr>
        <w:t xml:space="preserve"> </w:t>
      </w:r>
      <w:r w:rsidR="006B75CB" w:rsidRPr="008B794C">
        <w:rPr>
          <w:rFonts w:cs="Calibri"/>
          <w:spacing w:val="-2"/>
        </w:rPr>
        <w:t>è stato</w:t>
      </w:r>
      <w:r w:rsidR="003060DE" w:rsidRPr="008B794C">
        <w:rPr>
          <w:rFonts w:cs="Calibri"/>
          <w:spacing w:val="-2"/>
        </w:rPr>
        <w:t xml:space="preserve"> pari a </w:t>
      </w:r>
      <w:r w:rsidR="002444FA" w:rsidRPr="008B794C">
        <w:rPr>
          <w:rFonts w:cs="Calibri"/>
          <w:spacing w:val="-2"/>
        </w:rPr>
        <w:t>64,3</w:t>
      </w:r>
      <w:r w:rsidR="003060DE" w:rsidRPr="008B794C">
        <w:rPr>
          <w:rFonts w:cs="Calibri"/>
          <w:spacing w:val="-2"/>
        </w:rPr>
        <w:t xml:space="preserve"> dollari al barile</w:t>
      </w:r>
      <w:r w:rsidR="00367574" w:rsidRPr="008B794C">
        <w:rPr>
          <w:rFonts w:cs="Calibri"/>
          <w:spacing w:val="-2"/>
        </w:rPr>
        <w:t>,</w:t>
      </w:r>
      <w:r w:rsidR="003060DE" w:rsidRPr="008B794C">
        <w:rPr>
          <w:rFonts w:cs="Calibri"/>
          <w:spacing w:val="-2"/>
        </w:rPr>
        <w:t xml:space="preserve"> è previsto attestarsi</w:t>
      </w:r>
      <w:r w:rsidR="005A52A9" w:rsidRPr="008B794C">
        <w:rPr>
          <w:rFonts w:cs="Calibri"/>
          <w:spacing w:val="-2"/>
        </w:rPr>
        <w:t xml:space="preserve"> quest’anno</w:t>
      </w:r>
      <w:r w:rsidR="00C45516" w:rsidRPr="008B794C">
        <w:rPr>
          <w:rFonts w:cs="Calibri"/>
          <w:spacing w:val="-2"/>
        </w:rPr>
        <w:t xml:space="preserve"> </w:t>
      </w:r>
      <w:r w:rsidR="005A52A9" w:rsidRPr="008B794C">
        <w:rPr>
          <w:rFonts w:cs="Calibri"/>
          <w:spacing w:val="-2"/>
        </w:rPr>
        <w:t xml:space="preserve">a </w:t>
      </w:r>
      <w:r w:rsidR="002444FA" w:rsidRPr="008B794C">
        <w:rPr>
          <w:rFonts w:cs="Calibri"/>
          <w:spacing w:val="-2"/>
        </w:rPr>
        <w:t>3</w:t>
      </w:r>
      <w:r w:rsidR="005A52A9" w:rsidRPr="008B794C">
        <w:rPr>
          <w:rFonts w:cs="Calibri"/>
          <w:spacing w:val="-2"/>
        </w:rPr>
        <w:t>3,7 dollari al barile.</w:t>
      </w:r>
    </w:p>
    <w:p w14:paraId="7AD8DA2C" w14:textId="77777777" w:rsidR="00C21DEF" w:rsidRPr="00BA5651" w:rsidRDefault="0020499F" w:rsidP="00BA5651">
      <w:pPr>
        <w:pStyle w:val="012titoloparagrafo"/>
      </w:pPr>
      <w:r w:rsidRPr="00BA5651">
        <w:t>P</w:t>
      </w:r>
      <w:r w:rsidR="00C21DEF" w:rsidRPr="00BA5651">
        <w:t xml:space="preserve">revisioni </w:t>
      </w:r>
      <w:r w:rsidR="007C6848" w:rsidRPr="00BA5651">
        <w:t xml:space="preserve">per </w:t>
      </w:r>
      <w:r w:rsidR="00C21DEF" w:rsidRPr="00BA5651">
        <w:t>l’economia italiana</w:t>
      </w:r>
      <w:r w:rsidR="00C5402B" w:rsidRPr="00BA5651">
        <w:t xml:space="preserve"> </w:t>
      </w:r>
    </w:p>
    <w:p w14:paraId="6C36B355" w14:textId="7F35620B" w:rsidR="00E34CAA" w:rsidRPr="008B794C" w:rsidRDefault="0077646E" w:rsidP="001B30B5">
      <w:pPr>
        <w:pStyle w:val="01testo"/>
        <w:rPr>
          <w:spacing w:val="-1"/>
        </w:rPr>
      </w:pPr>
      <w:r w:rsidRPr="008B794C">
        <w:rPr>
          <w:spacing w:val="-1"/>
        </w:rPr>
        <w:t>Il</w:t>
      </w:r>
      <w:r w:rsidR="00E34CAA" w:rsidRPr="008B794C">
        <w:rPr>
          <w:spacing w:val="-1"/>
        </w:rPr>
        <w:t xml:space="preserve"> COVID-19 </w:t>
      </w:r>
      <w:r w:rsidRPr="008B794C">
        <w:rPr>
          <w:spacing w:val="-1"/>
        </w:rPr>
        <w:t xml:space="preserve">si è manifestato in una fase del ciclo economico italiano caratterizzata da segnali di debolezza </w:t>
      </w:r>
      <w:r w:rsidR="00E34CAA" w:rsidRPr="008B794C">
        <w:rPr>
          <w:spacing w:val="-1"/>
        </w:rPr>
        <w:t>(-0,2% la variazione congiunturale del Pil nel quarto trimestre</w:t>
      </w:r>
      <w:r w:rsidR="00F46C6C" w:rsidRPr="008B794C">
        <w:rPr>
          <w:spacing w:val="-1"/>
        </w:rPr>
        <w:t xml:space="preserve"> 2019</w:t>
      </w:r>
      <w:r w:rsidR="00E34CAA" w:rsidRPr="008B794C">
        <w:rPr>
          <w:spacing w:val="-1"/>
        </w:rPr>
        <w:t>)</w:t>
      </w:r>
      <w:r w:rsidRPr="008B794C">
        <w:rPr>
          <w:spacing w:val="-1"/>
        </w:rPr>
        <w:t xml:space="preserve">. </w:t>
      </w:r>
      <w:r w:rsidR="000811EF" w:rsidRPr="008B794C">
        <w:rPr>
          <w:spacing w:val="-1"/>
        </w:rPr>
        <w:t xml:space="preserve">Nei primi mesi del 2020 </w:t>
      </w:r>
      <w:r w:rsidRPr="008B794C">
        <w:rPr>
          <w:spacing w:val="-1"/>
        </w:rPr>
        <w:t xml:space="preserve">gli indici di fiducia delle imprese </w:t>
      </w:r>
      <w:r w:rsidR="000811EF" w:rsidRPr="008B794C">
        <w:rPr>
          <w:spacing w:val="-1"/>
        </w:rPr>
        <w:t>mostravano una sostanziale stabilità</w:t>
      </w:r>
      <w:r w:rsidRPr="008B794C">
        <w:rPr>
          <w:spacing w:val="-1"/>
        </w:rPr>
        <w:t xml:space="preserve"> mentre quelli delle famiglie </w:t>
      </w:r>
      <w:r w:rsidR="000811EF" w:rsidRPr="008B794C">
        <w:rPr>
          <w:spacing w:val="-1"/>
        </w:rPr>
        <w:t>evidenziavano</w:t>
      </w:r>
      <w:r w:rsidRPr="008B794C">
        <w:rPr>
          <w:spacing w:val="-1"/>
        </w:rPr>
        <w:t xml:space="preserve"> una limitata flessione. Inoltre la produzione industriale aveva </w:t>
      </w:r>
      <w:r w:rsidR="003E334A">
        <w:rPr>
          <w:spacing w:val="-1"/>
        </w:rPr>
        <w:t>regi</w:t>
      </w:r>
      <w:r w:rsidRPr="008B794C">
        <w:rPr>
          <w:spacing w:val="-1"/>
        </w:rPr>
        <w:t xml:space="preserve">strato un deciso rimbalzo congiunturale a gennaio. In questo quadro le misure di contenimento </w:t>
      </w:r>
      <w:r w:rsidR="00F46C6C" w:rsidRPr="008B794C">
        <w:rPr>
          <w:spacing w:val="-1"/>
        </w:rPr>
        <w:t>adottate</w:t>
      </w:r>
      <w:r w:rsidRPr="008B794C">
        <w:rPr>
          <w:spacing w:val="-1"/>
        </w:rPr>
        <w:t xml:space="preserve"> dal Governo hanno determinato </w:t>
      </w:r>
      <w:r w:rsidR="001B30B5" w:rsidRPr="008B794C">
        <w:rPr>
          <w:spacing w:val="-1"/>
        </w:rPr>
        <w:t xml:space="preserve">a marzo la sospensione delle attività </w:t>
      </w:r>
      <w:r w:rsidR="00620C1A">
        <w:rPr>
          <w:spacing w:val="-1"/>
        </w:rPr>
        <w:t xml:space="preserve">di settori in cui sono presenti </w:t>
      </w:r>
      <w:r w:rsidR="001B30B5" w:rsidRPr="008B794C">
        <w:rPr>
          <w:spacing w:val="-1"/>
        </w:rPr>
        <w:t>2,</w:t>
      </w:r>
      <w:r w:rsidR="00977177" w:rsidRPr="008B794C">
        <w:rPr>
          <w:spacing w:val="-1"/>
        </w:rPr>
        <w:t>1</w:t>
      </w:r>
      <w:r w:rsidR="001B30B5" w:rsidRPr="008B794C">
        <w:rPr>
          <w:spacing w:val="-1"/>
        </w:rPr>
        <w:t xml:space="preserve"> milioni di imprese (</w:t>
      </w:r>
      <w:r w:rsidR="00977177" w:rsidRPr="008B794C">
        <w:rPr>
          <w:spacing w:val="-1"/>
        </w:rPr>
        <w:t xml:space="preserve">poco meno del </w:t>
      </w:r>
      <w:r w:rsidR="001B30B5" w:rsidRPr="008B794C">
        <w:rPr>
          <w:spacing w:val="-1"/>
        </w:rPr>
        <w:t>4</w:t>
      </w:r>
      <w:r w:rsidR="00977177" w:rsidRPr="008B794C">
        <w:rPr>
          <w:spacing w:val="-1"/>
        </w:rPr>
        <w:t>8</w:t>
      </w:r>
      <w:r w:rsidR="001B30B5" w:rsidRPr="008B794C">
        <w:rPr>
          <w:spacing w:val="-1"/>
        </w:rPr>
        <w:t>% del totale), con un’occupazione di 7,</w:t>
      </w:r>
      <w:r w:rsidR="00977177" w:rsidRPr="008B794C">
        <w:rPr>
          <w:spacing w:val="-1"/>
        </w:rPr>
        <w:t>1</w:t>
      </w:r>
      <w:r w:rsidR="001B30B5" w:rsidRPr="008B794C">
        <w:rPr>
          <w:spacing w:val="-1"/>
        </w:rPr>
        <w:t xml:space="preserve"> milioni di addetti di cui 4,</w:t>
      </w:r>
      <w:r w:rsidR="00977177" w:rsidRPr="008B794C">
        <w:rPr>
          <w:spacing w:val="-1"/>
        </w:rPr>
        <w:t>8 milioni di dipendenti</w:t>
      </w:r>
      <w:r w:rsidR="001B30B5" w:rsidRPr="008B794C">
        <w:rPr>
          <w:spacing w:val="-1"/>
        </w:rPr>
        <w:t>.</w:t>
      </w:r>
      <w:r w:rsidR="00977177" w:rsidRPr="008B794C">
        <w:rPr>
          <w:spacing w:val="-1"/>
        </w:rPr>
        <w:t xml:space="preserve"> Sulla base dei dati riferiti al 2017 tali imprese generano il 41,4</w:t>
      </w:r>
      <w:r w:rsidR="003E334A">
        <w:rPr>
          <w:spacing w:val="-1"/>
        </w:rPr>
        <w:t>%</w:t>
      </w:r>
      <w:r w:rsidR="00977177" w:rsidRPr="008B794C">
        <w:rPr>
          <w:spacing w:val="-1"/>
        </w:rPr>
        <w:t xml:space="preserve"> per cento del fatturato complessivo, il 39,5% del valore aggiunto e rappresentano il 63,9</w:t>
      </w:r>
      <w:r w:rsidR="003E334A">
        <w:rPr>
          <w:spacing w:val="-1"/>
        </w:rPr>
        <w:t>%</w:t>
      </w:r>
      <w:r w:rsidR="00977177" w:rsidRPr="008B794C">
        <w:rPr>
          <w:spacing w:val="-1"/>
        </w:rPr>
        <w:t xml:space="preserve"> per cento delle esportazioni di beni.</w:t>
      </w:r>
    </w:p>
    <w:p w14:paraId="098AACB5" w14:textId="2577690A" w:rsidR="001B30B5" w:rsidRDefault="001B30B5" w:rsidP="001B30B5">
      <w:pPr>
        <w:pStyle w:val="01testo"/>
      </w:pPr>
      <w:r>
        <w:t xml:space="preserve">Il blocco delle attività ha avuto effetti </w:t>
      </w:r>
      <w:r w:rsidR="002D3523">
        <w:t xml:space="preserve">immediati </w:t>
      </w:r>
      <w:r>
        <w:t>sulla produzione. Secondo i dati di contabilità nazionale</w:t>
      </w:r>
      <w:r w:rsidR="003E334A">
        <w:t>,</w:t>
      </w:r>
      <w:r>
        <w:t xml:space="preserve"> nel primo trimestre dell’anno il Pil ha registrato una contrazione del 5,3%</w:t>
      </w:r>
      <w:r w:rsidR="006D1125">
        <w:t xml:space="preserve"> segnando arretramenti</w:t>
      </w:r>
      <w:r w:rsidR="006D1125" w:rsidRPr="006D1125">
        <w:t xml:space="preserve"> del valore aggiunto in tutti i principali comparti produttivi, con agricoltura, industria e servizi diminuiti rispettivamente dell’1,9%, dell’8,1% e del 4,4%.</w:t>
      </w:r>
      <w:r w:rsidR="009874C3">
        <w:t xml:space="preserve"> </w:t>
      </w:r>
    </w:p>
    <w:p w14:paraId="281053BA" w14:textId="7079DA89" w:rsidR="009874C3" w:rsidRDefault="009874C3" w:rsidP="001B30B5">
      <w:pPr>
        <w:pStyle w:val="01testo"/>
      </w:pPr>
      <w:r>
        <w:t xml:space="preserve">Il proseguimento delle misure di contenimento ha caratterizzato l’intero mese di aprile mentre dal 4 maggio </w:t>
      </w:r>
      <w:r w:rsidR="00F978F8">
        <w:t xml:space="preserve">si è avviato il processo di riapertura. Dopo quella data le imprese </w:t>
      </w:r>
      <w:r w:rsidR="00F978F8" w:rsidRPr="00F978F8">
        <w:t>appartenenti alle attività sospese d’autorità</w:t>
      </w:r>
      <w:r w:rsidR="002D3523">
        <w:t>, concentrate prevalentemente nel terziario,</w:t>
      </w:r>
      <w:r w:rsidR="00F978F8" w:rsidRPr="00F978F8">
        <w:t xml:space="preserve"> </w:t>
      </w:r>
      <w:r w:rsidR="004F1724">
        <w:t>erano</w:t>
      </w:r>
      <w:r w:rsidR="00F978F8" w:rsidRPr="00F978F8">
        <w:t xml:space="preserve"> circa 800mila (il 19,1%</w:t>
      </w:r>
      <w:r w:rsidR="003E334A">
        <w:t xml:space="preserve"> </w:t>
      </w:r>
      <w:r w:rsidR="00F978F8" w:rsidRPr="00F978F8">
        <w:t>del totale), con un peso occupazionale del 15,7% sul complesso dei settori dell’industria e dei servizi di mercato (escluso il settore finanziario)</w:t>
      </w:r>
      <w:r w:rsidR="004F1724">
        <w:t>.</w:t>
      </w:r>
      <w:r w:rsidR="00C029BC">
        <w:t xml:space="preserve"> Infine in questi giorni si sta procedendo alla </w:t>
      </w:r>
      <w:r w:rsidR="00C029BC">
        <w:lastRenderedPageBreak/>
        <w:t>riapertura di tutte le attività seppure condizionat</w:t>
      </w:r>
      <w:r w:rsidR="00B2715D">
        <w:t>amente</w:t>
      </w:r>
      <w:r w:rsidR="00C029BC">
        <w:t xml:space="preserve"> al rispetto delle indicazioni previste dalla normativa.</w:t>
      </w:r>
    </w:p>
    <w:p w14:paraId="6DEAA22F" w14:textId="18B4B5C5" w:rsidR="00814EEA" w:rsidRDefault="00AB3A8A" w:rsidP="001B30B5">
      <w:pPr>
        <w:pStyle w:val="01testo"/>
      </w:pPr>
      <w:r>
        <w:t>A</w:t>
      </w:r>
      <w:r w:rsidR="00A526C8">
        <w:t>d</w:t>
      </w:r>
      <w:r w:rsidR="00814EEA">
        <w:t xml:space="preserve"> aprile </w:t>
      </w:r>
      <w:r>
        <w:t xml:space="preserve">gli indicatori statistici </w:t>
      </w:r>
      <w:r w:rsidR="00144886">
        <w:t>hanno registrato</w:t>
      </w:r>
      <w:r w:rsidR="00915269">
        <w:t xml:space="preserve"> le difficoltà del tessuto economico nel fronteggiare i provvedimenti sul </w:t>
      </w:r>
      <w:r w:rsidR="00915269" w:rsidRPr="00BF5323">
        <w:rPr>
          <w:i/>
        </w:rPr>
        <w:t>lockdown</w:t>
      </w:r>
      <w:r w:rsidR="00620C1A">
        <w:t>,</w:t>
      </w:r>
      <w:r w:rsidR="00A526C8">
        <w:t xml:space="preserve"> </w:t>
      </w:r>
      <w:r w:rsidR="00814EEA">
        <w:t>segnalan</w:t>
      </w:r>
      <w:r w:rsidR="00915269">
        <w:t>d</w:t>
      </w:r>
      <w:r w:rsidR="00814EEA">
        <w:t>o una caduta delle vendite al dettaglio (</w:t>
      </w:r>
      <w:r w:rsidR="00A526C8">
        <w:t>-11,4% la variazione in volume rispetto a marzo),</w:t>
      </w:r>
      <w:r w:rsidR="00814EEA">
        <w:t xml:space="preserve"> </w:t>
      </w:r>
      <w:r>
        <w:t>il crollo delle esportazioni verso i mercati extra-Ue (-37,6% la variazione congiunturale)</w:t>
      </w:r>
      <w:r w:rsidR="003E334A">
        <w:t>,</w:t>
      </w:r>
      <w:r>
        <w:t xml:space="preserve"> </w:t>
      </w:r>
      <w:r w:rsidR="00A526C8">
        <w:t xml:space="preserve">un deciso calo dell’occupazione </w:t>
      </w:r>
      <w:r w:rsidR="00915269">
        <w:t xml:space="preserve">(-274mila unità rispetto al mese precedente) </w:t>
      </w:r>
      <w:r w:rsidR="00A526C8">
        <w:t>e una riduzione dei prezzi alla produzione</w:t>
      </w:r>
      <w:r w:rsidR="003E334A">
        <w:t xml:space="preserve"> sul mercato interno</w:t>
      </w:r>
      <w:r w:rsidR="00A526C8">
        <w:t xml:space="preserve"> (-</w:t>
      </w:r>
      <w:r w:rsidR="003E334A">
        <w:t>3,4</w:t>
      </w:r>
      <w:r w:rsidR="00A526C8">
        <w:t xml:space="preserve">% </w:t>
      </w:r>
      <w:r w:rsidR="00915269">
        <w:t>la variazione congiunturale)</w:t>
      </w:r>
      <w:r w:rsidR="00A526C8">
        <w:t xml:space="preserve">, influenzati dai ribassi dei beni energetici (-0,1% la variazione al netto di questa componente) mentre l’inflazione </w:t>
      </w:r>
      <w:r w:rsidR="00620C1A">
        <w:t xml:space="preserve">al consumo </w:t>
      </w:r>
      <w:r w:rsidR="00A526C8">
        <w:t>si è azzerata.</w:t>
      </w:r>
    </w:p>
    <w:p w14:paraId="4135EF11" w14:textId="44FFB3CC" w:rsidR="00420963" w:rsidRPr="00485F7E" w:rsidRDefault="00B2715D" w:rsidP="00A66035">
      <w:pPr>
        <w:pStyle w:val="01testo"/>
        <w:rPr>
          <w:spacing w:val="-2"/>
        </w:rPr>
      </w:pPr>
      <w:r w:rsidRPr="00485F7E">
        <w:rPr>
          <w:spacing w:val="-2"/>
        </w:rPr>
        <w:t xml:space="preserve">Gli indicatori </w:t>
      </w:r>
      <w:r w:rsidR="001F4054" w:rsidRPr="00485F7E">
        <w:rPr>
          <w:spacing w:val="-2"/>
        </w:rPr>
        <w:t>disponibili per il</w:t>
      </w:r>
      <w:r w:rsidRPr="00485F7E">
        <w:rPr>
          <w:spacing w:val="-2"/>
        </w:rPr>
        <w:t xml:space="preserve"> mese di maggio </w:t>
      </w:r>
      <w:r w:rsidR="001F4054" w:rsidRPr="00485F7E">
        <w:rPr>
          <w:spacing w:val="-2"/>
        </w:rPr>
        <w:t xml:space="preserve">mostrano invece alcuni </w:t>
      </w:r>
      <w:r w:rsidR="00620C1A">
        <w:rPr>
          <w:spacing w:val="-2"/>
        </w:rPr>
        <w:t xml:space="preserve">primi </w:t>
      </w:r>
      <w:r w:rsidR="001F4054" w:rsidRPr="00485F7E">
        <w:rPr>
          <w:spacing w:val="-2"/>
        </w:rPr>
        <w:t>segnali di ripresa in linea con il processo di riapertura delle attività</w:t>
      </w:r>
      <w:r w:rsidRPr="00485F7E">
        <w:rPr>
          <w:spacing w:val="-2"/>
        </w:rPr>
        <w:t>. I consumi di energia elettrica</w:t>
      </w:r>
      <w:r w:rsidR="001F4054" w:rsidRPr="00485F7E">
        <w:rPr>
          <w:spacing w:val="-2"/>
        </w:rPr>
        <w:t>, calati in misura marcata nel mese di aprile,</w:t>
      </w:r>
      <w:r w:rsidR="002D3523" w:rsidRPr="00485F7E">
        <w:rPr>
          <w:spacing w:val="-2"/>
        </w:rPr>
        <w:t xml:space="preserve"> </w:t>
      </w:r>
      <w:r w:rsidR="003E334A" w:rsidRPr="00485F7E">
        <w:rPr>
          <w:spacing w:val="-2"/>
        </w:rPr>
        <w:t>regi</w:t>
      </w:r>
      <w:r w:rsidR="001F4054" w:rsidRPr="00485F7E">
        <w:rPr>
          <w:spacing w:val="-2"/>
        </w:rPr>
        <w:t>strano una inversione di tendenza a partire dalla prima settimana di maggio</w:t>
      </w:r>
      <w:r w:rsidRPr="00485F7E">
        <w:rPr>
          <w:spacing w:val="-2"/>
        </w:rPr>
        <w:t xml:space="preserve">. </w:t>
      </w:r>
      <w:r w:rsidR="000811EF" w:rsidRPr="00485F7E">
        <w:rPr>
          <w:spacing w:val="-2"/>
        </w:rPr>
        <w:t>Nello stesso mese</w:t>
      </w:r>
      <w:r w:rsidR="00F46C6C" w:rsidRPr="00485F7E">
        <w:rPr>
          <w:spacing w:val="-2"/>
        </w:rPr>
        <w:t xml:space="preserve"> la </w:t>
      </w:r>
      <w:r w:rsidR="00216654" w:rsidRPr="00485F7E">
        <w:rPr>
          <w:spacing w:val="-2"/>
        </w:rPr>
        <w:t>fiducia di imprese e famiglie</w:t>
      </w:r>
      <w:r w:rsidR="003E334A" w:rsidRPr="00485F7E">
        <w:rPr>
          <w:spacing w:val="-2"/>
        </w:rPr>
        <w:t>,</w:t>
      </w:r>
      <w:r w:rsidR="00F46C6C" w:rsidRPr="00485F7E">
        <w:rPr>
          <w:spacing w:val="-2"/>
        </w:rPr>
        <w:t xml:space="preserve"> </w:t>
      </w:r>
      <w:r w:rsidR="00A66035" w:rsidRPr="00485F7E">
        <w:rPr>
          <w:spacing w:val="-2"/>
        </w:rPr>
        <w:t xml:space="preserve">che </w:t>
      </w:r>
      <w:r w:rsidR="00F46C6C" w:rsidRPr="00485F7E">
        <w:rPr>
          <w:spacing w:val="-2"/>
        </w:rPr>
        <w:t>si è mantenuta su livelli storicamente molto bassi</w:t>
      </w:r>
      <w:r w:rsidR="00620C1A">
        <w:rPr>
          <w:spacing w:val="-2"/>
        </w:rPr>
        <w:t xml:space="preserve"> (Figura 1 e 2)</w:t>
      </w:r>
      <w:r w:rsidR="00A66035" w:rsidRPr="00485F7E">
        <w:rPr>
          <w:spacing w:val="-2"/>
        </w:rPr>
        <w:t>, presenta alcune specificità di rilievo</w:t>
      </w:r>
      <w:r w:rsidR="00A66035" w:rsidRPr="00485F7E">
        <w:rPr>
          <w:rStyle w:val="Rimandonotaapidipagina"/>
          <w:spacing w:val="-2"/>
        </w:rPr>
        <w:footnoteReference w:id="4"/>
      </w:r>
      <w:r w:rsidR="00A66035" w:rsidRPr="00485F7E">
        <w:rPr>
          <w:spacing w:val="-2"/>
        </w:rPr>
        <w:t xml:space="preserve">. </w:t>
      </w:r>
      <w:r w:rsidR="00FB7D02" w:rsidRPr="00485F7E">
        <w:rPr>
          <w:spacing w:val="-2"/>
        </w:rPr>
        <w:t xml:space="preserve">I livelli dell’indice di fiducia appaiono decisamente più bassi tra le imprese mentre le attese di disoccupazione risultano più elevate tra le famiglie se confrontate con le attese di occupazione espresse tra le imprese. </w:t>
      </w:r>
    </w:p>
    <w:p w14:paraId="51117ECB" w14:textId="089BBF71" w:rsidR="00A66035" w:rsidRDefault="00AA3127" w:rsidP="00A66035">
      <w:pPr>
        <w:pStyle w:val="01testo"/>
      </w:pPr>
      <w:r>
        <w:t>La ripresa delle attività di produzione e</w:t>
      </w:r>
      <w:r w:rsidR="00A66035">
        <w:t xml:space="preserve"> consumo </w:t>
      </w:r>
      <w:r>
        <w:t>è</w:t>
      </w:r>
      <w:r w:rsidR="00A66035">
        <w:t xml:space="preserve"> attes</w:t>
      </w:r>
      <w:r>
        <w:t>a</w:t>
      </w:r>
      <w:r w:rsidR="00A66035">
        <w:t xml:space="preserve"> </w:t>
      </w:r>
      <w:r>
        <w:t>sostenere</w:t>
      </w:r>
      <w:r w:rsidR="00A66035">
        <w:t xml:space="preserve"> un miglioramento del clima economico con un effetto </w:t>
      </w:r>
      <w:r>
        <w:t xml:space="preserve">positivo </w:t>
      </w:r>
      <w:r w:rsidR="00A66035">
        <w:t>sul Pil che</w:t>
      </w:r>
      <w:r w:rsidR="00620C1A">
        <w:t xml:space="preserve">, dopo una flessione ulteriore nel secondo </w:t>
      </w:r>
      <w:r w:rsidR="00FF73E6">
        <w:t>trimestre</w:t>
      </w:r>
      <w:r w:rsidR="00620C1A">
        <w:t>,</w:t>
      </w:r>
      <w:r w:rsidR="00A66035">
        <w:t xml:space="preserve"> è previsto in aumento nel secondo semestre dell’anno.</w:t>
      </w:r>
    </w:p>
    <w:p w14:paraId="33E8ABEB" w14:textId="77777777" w:rsidR="00885F01" w:rsidRDefault="00885F01" w:rsidP="00485F7E">
      <w:pPr>
        <w:pStyle w:val="01testo"/>
        <w:spacing w:after="0"/>
      </w:pPr>
    </w:p>
    <w:tbl>
      <w:tblPr>
        <w:tblW w:w="8618" w:type="dxa"/>
        <w:tblInd w:w="1701" w:type="dxa"/>
        <w:tblLook w:val="04A0" w:firstRow="1" w:lastRow="0" w:firstColumn="1" w:lastColumn="0" w:noHBand="0" w:noVBand="1"/>
      </w:tblPr>
      <w:tblGrid>
        <w:gridCol w:w="4095"/>
        <w:gridCol w:w="222"/>
        <w:gridCol w:w="4357"/>
      </w:tblGrid>
      <w:tr w:rsidR="00885F01" w14:paraId="06DAAC50" w14:textId="77777777" w:rsidTr="00F30A12">
        <w:trPr>
          <w:trHeight w:val="454"/>
        </w:trPr>
        <w:tc>
          <w:tcPr>
            <w:tcW w:w="4675" w:type="dxa"/>
            <w:shd w:val="clear" w:color="auto" w:fill="auto"/>
          </w:tcPr>
          <w:p w14:paraId="00183502" w14:textId="77777777" w:rsidR="00885F01" w:rsidRPr="00F30A12" w:rsidRDefault="00885F01" w:rsidP="00F30A12">
            <w:pPr>
              <w:pStyle w:val="01testo"/>
              <w:spacing w:after="0"/>
              <w:ind w:left="0"/>
              <w:rPr>
                <w:rFonts w:ascii="Arial Narrow" w:hAnsi="Arial Narrow"/>
                <w:b/>
                <w:caps/>
                <w:spacing w:val="-4"/>
              </w:rPr>
            </w:pPr>
            <w:r w:rsidRPr="00F30A12">
              <w:rPr>
                <w:rFonts w:ascii="Arial Narrow" w:hAnsi="Arial Narrow"/>
                <w:b/>
                <w:caps/>
                <w:spacing w:val="-4"/>
              </w:rPr>
              <w:t xml:space="preserve">Figura </w:t>
            </w:r>
            <w:r w:rsidR="009D5D15" w:rsidRPr="00F30A12">
              <w:rPr>
                <w:rFonts w:ascii="Arial Narrow" w:hAnsi="Arial Narrow"/>
                <w:b/>
                <w:caps/>
                <w:spacing w:val="-4"/>
              </w:rPr>
              <w:t>1</w:t>
            </w:r>
            <w:r w:rsidRPr="00F30A12">
              <w:rPr>
                <w:rFonts w:ascii="Arial Narrow" w:hAnsi="Arial Narrow"/>
                <w:b/>
                <w:caps/>
                <w:spacing w:val="-4"/>
              </w:rPr>
              <w:t>. PIL e CLIMA DI FIDUCIA DELLE IMPRESE</w:t>
            </w:r>
          </w:p>
          <w:p w14:paraId="3BB65103" w14:textId="183CF5A6" w:rsidR="00885F01" w:rsidRPr="00F30A12" w:rsidRDefault="00885F01" w:rsidP="00DB0904">
            <w:pPr>
              <w:pStyle w:val="01testo"/>
              <w:spacing w:after="0" w:line="240" w:lineRule="exact"/>
              <w:ind w:left="0"/>
              <w:rPr>
                <w:rFonts w:ascii="Arial Narrow" w:hAnsi="Arial Narrow"/>
                <w:spacing w:val="-4"/>
                <w:sz w:val="19"/>
                <w:szCs w:val="19"/>
              </w:rPr>
            </w:pPr>
            <w:r w:rsidRPr="00F30A12">
              <w:rPr>
                <w:rFonts w:ascii="Arial Narrow" w:hAnsi="Arial Narrow"/>
                <w:spacing w:val="-4"/>
                <w:sz w:val="19"/>
                <w:szCs w:val="19"/>
              </w:rPr>
              <w:t>(valori concatenati e indici</w:t>
            </w:r>
            <w:r w:rsidR="00F446DF">
              <w:rPr>
                <w:rFonts w:ascii="Arial Narrow" w:hAnsi="Arial Narrow"/>
                <w:spacing w:val="-4"/>
                <w:sz w:val="19"/>
                <w:szCs w:val="19"/>
              </w:rPr>
              <w:t xml:space="preserve">, </w:t>
            </w:r>
            <w:r w:rsidR="0020114D">
              <w:rPr>
                <w:rFonts w:ascii="Arial Narrow" w:hAnsi="Arial Narrow"/>
                <w:spacing w:val="-4"/>
                <w:sz w:val="19"/>
                <w:szCs w:val="19"/>
              </w:rPr>
              <w:t xml:space="preserve">base </w:t>
            </w:r>
            <w:r w:rsidRPr="00F30A12">
              <w:rPr>
                <w:rFonts w:ascii="Arial Narrow" w:hAnsi="Arial Narrow"/>
                <w:spacing w:val="-4"/>
                <w:sz w:val="19"/>
                <w:szCs w:val="19"/>
              </w:rPr>
              <w:t>2010=100</w:t>
            </w:r>
            <w:r w:rsidR="00F446DF">
              <w:rPr>
                <w:rFonts w:ascii="Arial Narrow" w:hAnsi="Arial Narrow"/>
                <w:spacing w:val="-4"/>
                <w:sz w:val="19"/>
                <w:szCs w:val="19"/>
              </w:rPr>
              <w:t>. Medie trimestrali e maggio 2020</w:t>
            </w:r>
            <w:r w:rsidRPr="00F30A12">
              <w:rPr>
                <w:rFonts w:ascii="Arial Narrow" w:hAnsi="Arial Narrow"/>
                <w:spacing w:val="-4"/>
                <w:sz w:val="19"/>
                <w:szCs w:val="19"/>
              </w:rPr>
              <w:t>)</w:t>
            </w:r>
          </w:p>
        </w:tc>
        <w:tc>
          <w:tcPr>
            <w:tcW w:w="281" w:type="dxa"/>
            <w:shd w:val="clear" w:color="auto" w:fill="auto"/>
          </w:tcPr>
          <w:p w14:paraId="5C4EBE46" w14:textId="77777777" w:rsidR="00885F01" w:rsidRDefault="00885F01" w:rsidP="00F30A12">
            <w:pPr>
              <w:pStyle w:val="01testo"/>
              <w:ind w:left="0"/>
            </w:pPr>
          </w:p>
        </w:tc>
        <w:tc>
          <w:tcPr>
            <w:tcW w:w="3662" w:type="dxa"/>
            <w:shd w:val="clear" w:color="auto" w:fill="auto"/>
          </w:tcPr>
          <w:p w14:paraId="53E67745" w14:textId="00B66E18" w:rsidR="00885F01" w:rsidRPr="00F30A12" w:rsidRDefault="00885F01" w:rsidP="00F30A12">
            <w:pPr>
              <w:pStyle w:val="01testo"/>
              <w:spacing w:after="0"/>
              <w:ind w:left="0"/>
              <w:rPr>
                <w:rFonts w:ascii="Arial Narrow" w:hAnsi="Arial Narrow"/>
                <w:b/>
                <w:caps/>
                <w:spacing w:val="-4"/>
              </w:rPr>
            </w:pPr>
            <w:r w:rsidRPr="00F30A12">
              <w:rPr>
                <w:rFonts w:ascii="Arial Narrow" w:hAnsi="Arial Narrow"/>
                <w:b/>
                <w:caps/>
                <w:spacing w:val="-4"/>
              </w:rPr>
              <w:t xml:space="preserve">Figura </w:t>
            </w:r>
            <w:r w:rsidR="004D66AF">
              <w:rPr>
                <w:rFonts w:ascii="Arial Narrow" w:hAnsi="Arial Narrow"/>
                <w:b/>
                <w:caps/>
                <w:spacing w:val="-4"/>
              </w:rPr>
              <w:t>2</w:t>
            </w:r>
            <w:r w:rsidRPr="00F30A12">
              <w:rPr>
                <w:rFonts w:ascii="Arial Narrow" w:hAnsi="Arial Narrow"/>
                <w:b/>
                <w:caps/>
                <w:spacing w:val="-4"/>
              </w:rPr>
              <w:t xml:space="preserve">. CONSUMI DELLE FAMIGLIE e CLIMA </w:t>
            </w:r>
          </w:p>
          <w:p w14:paraId="4B7A64DD" w14:textId="77777777" w:rsidR="00885F01" w:rsidRPr="00F30A12" w:rsidRDefault="00885F01" w:rsidP="00F30A12">
            <w:pPr>
              <w:pStyle w:val="01testo"/>
              <w:spacing w:after="0" w:line="240" w:lineRule="exact"/>
              <w:ind w:left="0"/>
              <w:rPr>
                <w:rFonts w:ascii="Arial Narrow" w:hAnsi="Arial Narrow"/>
                <w:b/>
                <w:caps/>
                <w:spacing w:val="-4"/>
              </w:rPr>
            </w:pPr>
            <w:r w:rsidRPr="00F30A12">
              <w:rPr>
                <w:rFonts w:ascii="Arial Narrow" w:hAnsi="Arial Narrow"/>
                <w:b/>
                <w:caps/>
                <w:spacing w:val="-4"/>
              </w:rPr>
              <w:t>DI FIDUCIA DEI CONSUMATORI</w:t>
            </w:r>
          </w:p>
          <w:p w14:paraId="317C411C" w14:textId="214102B7" w:rsidR="00885F01" w:rsidRPr="00F30A12" w:rsidRDefault="00885F01" w:rsidP="004D66AF">
            <w:pPr>
              <w:pStyle w:val="01testo"/>
              <w:spacing w:after="0" w:line="240" w:lineRule="exact"/>
              <w:ind w:left="0"/>
              <w:rPr>
                <w:sz w:val="19"/>
                <w:szCs w:val="19"/>
              </w:rPr>
            </w:pPr>
            <w:r w:rsidRPr="00F30A12">
              <w:rPr>
                <w:rFonts w:ascii="Arial Narrow" w:hAnsi="Arial Narrow"/>
                <w:spacing w:val="-4"/>
                <w:sz w:val="19"/>
                <w:szCs w:val="19"/>
              </w:rPr>
              <w:t>(</w:t>
            </w:r>
            <w:r w:rsidR="0020114D">
              <w:rPr>
                <w:rFonts w:ascii="Arial Narrow" w:hAnsi="Arial Narrow"/>
                <w:spacing w:val="-4"/>
                <w:sz w:val="19"/>
                <w:szCs w:val="19"/>
              </w:rPr>
              <w:t xml:space="preserve">valori concatenati e </w:t>
            </w:r>
            <w:r w:rsidRPr="00F30A12">
              <w:rPr>
                <w:rFonts w:ascii="Arial Narrow" w:hAnsi="Arial Narrow"/>
                <w:spacing w:val="-4"/>
                <w:sz w:val="19"/>
                <w:szCs w:val="19"/>
              </w:rPr>
              <w:t>indici</w:t>
            </w:r>
            <w:r w:rsidR="001A5A20">
              <w:rPr>
                <w:rFonts w:ascii="Arial Narrow" w:hAnsi="Arial Narrow"/>
                <w:spacing w:val="-4"/>
                <w:sz w:val="19"/>
                <w:szCs w:val="19"/>
              </w:rPr>
              <w:t>,</w:t>
            </w:r>
            <w:r w:rsidRPr="00F30A12">
              <w:rPr>
                <w:rFonts w:ascii="Arial Narrow" w:hAnsi="Arial Narrow"/>
                <w:spacing w:val="-4"/>
                <w:sz w:val="19"/>
                <w:szCs w:val="19"/>
              </w:rPr>
              <w:t xml:space="preserve"> </w:t>
            </w:r>
            <w:r w:rsidR="0020114D">
              <w:rPr>
                <w:rFonts w:ascii="Arial Narrow" w:hAnsi="Arial Narrow"/>
                <w:spacing w:val="-4"/>
                <w:sz w:val="19"/>
                <w:szCs w:val="19"/>
              </w:rPr>
              <w:t xml:space="preserve">base </w:t>
            </w:r>
            <w:r w:rsidRPr="00F30A12">
              <w:rPr>
                <w:rFonts w:ascii="Arial Narrow" w:hAnsi="Arial Narrow"/>
                <w:spacing w:val="-4"/>
                <w:sz w:val="19"/>
                <w:szCs w:val="19"/>
              </w:rPr>
              <w:t>2010=100</w:t>
            </w:r>
            <w:r w:rsidR="00F446DF">
              <w:rPr>
                <w:rFonts w:ascii="Arial Narrow" w:hAnsi="Arial Narrow"/>
                <w:spacing w:val="-4"/>
                <w:sz w:val="19"/>
                <w:szCs w:val="19"/>
              </w:rPr>
              <w:t xml:space="preserve">. Medie trimestrali </w:t>
            </w:r>
            <w:r w:rsidR="004D66AF">
              <w:rPr>
                <w:rFonts w:ascii="Arial Narrow" w:hAnsi="Arial Narrow"/>
                <w:spacing w:val="-4"/>
                <w:sz w:val="19"/>
                <w:szCs w:val="19"/>
              </w:rPr>
              <w:t xml:space="preserve">e </w:t>
            </w:r>
            <w:r w:rsidR="00F446DF">
              <w:rPr>
                <w:rFonts w:ascii="Arial Narrow" w:hAnsi="Arial Narrow"/>
                <w:spacing w:val="-4"/>
                <w:sz w:val="19"/>
                <w:szCs w:val="19"/>
              </w:rPr>
              <w:t>maggio 2020</w:t>
            </w:r>
            <w:r w:rsidRPr="00F30A12">
              <w:rPr>
                <w:rFonts w:ascii="Arial Narrow" w:hAnsi="Arial Narrow"/>
                <w:spacing w:val="-4"/>
                <w:sz w:val="19"/>
                <w:szCs w:val="19"/>
              </w:rPr>
              <w:t>)</w:t>
            </w:r>
          </w:p>
        </w:tc>
      </w:tr>
      <w:tr w:rsidR="00885F01" w14:paraId="405D8362" w14:textId="77777777" w:rsidTr="004D66AF">
        <w:tblPrEx>
          <w:tblCellMar>
            <w:left w:w="70" w:type="dxa"/>
            <w:right w:w="70" w:type="dxa"/>
          </w:tblCellMar>
        </w:tblPrEx>
        <w:trPr>
          <w:trHeight w:val="2835"/>
        </w:trPr>
        <w:tc>
          <w:tcPr>
            <w:tcW w:w="4675" w:type="dxa"/>
            <w:shd w:val="clear" w:color="auto" w:fill="auto"/>
          </w:tcPr>
          <w:p w14:paraId="0E112413" w14:textId="0A909EE6" w:rsidR="00885F01" w:rsidRDefault="008E2E7D" w:rsidP="00F30A12">
            <w:pPr>
              <w:pStyle w:val="01testo"/>
              <w:ind w:left="0"/>
            </w:pPr>
            <w:r w:rsidRPr="00F30A12">
              <w:rPr>
                <w:noProof/>
                <w:lang w:eastAsia="it-IT"/>
              </w:rPr>
              <w:drawing>
                <wp:inline distT="0" distB="0" distL="0" distR="0" wp14:anchorId="3214A3C1" wp14:editId="312F9C6C">
                  <wp:extent cx="2700655" cy="1837055"/>
                  <wp:effectExtent l="0" t="0" r="0" b="0"/>
                  <wp:docPr id="3" name="Gra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81" w:type="dxa"/>
            <w:shd w:val="clear" w:color="auto" w:fill="auto"/>
          </w:tcPr>
          <w:p w14:paraId="42A1AA6B" w14:textId="77777777" w:rsidR="00885F01" w:rsidRDefault="00885F01" w:rsidP="00F30A12">
            <w:pPr>
              <w:pStyle w:val="01testo"/>
              <w:ind w:left="0"/>
            </w:pPr>
          </w:p>
        </w:tc>
        <w:tc>
          <w:tcPr>
            <w:tcW w:w="3662" w:type="dxa"/>
            <w:shd w:val="clear" w:color="auto" w:fill="auto"/>
          </w:tcPr>
          <w:p w14:paraId="4F13A994" w14:textId="3318073F" w:rsidR="00885F01" w:rsidRDefault="004D66AF" w:rsidP="00F30A12">
            <w:pPr>
              <w:pStyle w:val="01testo"/>
              <w:ind w:left="0"/>
            </w:pPr>
            <w:r>
              <w:rPr>
                <w:noProof/>
                <w:lang w:eastAsia="it-IT"/>
              </w:rPr>
              <w:drawing>
                <wp:inline distT="0" distB="0" distL="0" distR="0" wp14:anchorId="3BDACCE3" wp14:editId="27C1DED1">
                  <wp:extent cx="2880000" cy="1872000"/>
                  <wp:effectExtent l="0" t="0" r="0" b="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885F01" w14:paraId="0B2C166B" w14:textId="77777777" w:rsidTr="00F30A12">
        <w:trPr>
          <w:trHeight w:val="170"/>
        </w:trPr>
        <w:tc>
          <w:tcPr>
            <w:tcW w:w="4675" w:type="dxa"/>
            <w:shd w:val="clear" w:color="auto" w:fill="auto"/>
          </w:tcPr>
          <w:p w14:paraId="5E8620AA" w14:textId="77777777" w:rsidR="00885F01" w:rsidRPr="00F30A12" w:rsidRDefault="00885F01" w:rsidP="00F30A12">
            <w:pPr>
              <w:pStyle w:val="01testo"/>
              <w:ind w:left="0"/>
              <w:rPr>
                <w:rFonts w:ascii="Arial Narrow" w:hAnsi="Arial Narrow"/>
                <w:sz w:val="15"/>
                <w:szCs w:val="15"/>
              </w:rPr>
            </w:pPr>
            <w:r w:rsidRPr="00F30A12">
              <w:rPr>
                <w:rFonts w:ascii="Arial Narrow" w:hAnsi="Arial Narrow"/>
                <w:sz w:val="15"/>
                <w:szCs w:val="15"/>
              </w:rPr>
              <w:t>Fonte: Istat</w:t>
            </w:r>
          </w:p>
        </w:tc>
        <w:tc>
          <w:tcPr>
            <w:tcW w:w="281" w:type="dxa"/>
            <w:shd w:val="clear" w:color="auto" w:fill="auto"/>
          </w:tcPr>
          <w:p w14:paraId="5AA00055" w14:textId="77777777" w:rsidR="00885F01" w:rsidRDefault="00885F01" w:rsidP="00F30A12">
            <w:pPr>
              <w:pStyle w:val="01testo"/>
              <w:ind w:left="0"/>
            </w:pPr>
          </w:p>
        </w:tc>
        <w:tc>
          <w:tcPr>
            <w:tcW w:w="3662" w:type="dxa"/>
            <w:shd w:val="clear" w:color="auto" w:fill="auto"/>
          </w:tcPr>
          <w:p w14:paraId="4739B045" w14:textId="77777777" w:rsidR="00885F01" w:rsidRDefault="00885F01" w:rsidP="00F30A12">
            <w:pPr>
              <w:pStyle w:val="01testo"/>
              <w:ind w:left="0"/>
            </w:pPr>
            <w:r w:rsidRPr="00F30A12">
              <w:rPr>
                <w:rFonts w:ascii="Arial Narrow" w:hAnsi="Arial Narrow"/>
                <w:sz w:val="15"/>
                <w:szCs w:val="15"/>
              </w:rPr>
              <w:t>Fonte: Istat</w:t>
            </w:r>
          </w:p>
        </w:tc>
      </w:tr>
    </w:tbl>
    <w:p w14:paraId="3564C80F" w14:textId="77777777" w:rsidR="00885F01" w:rsidRDefault="00885F01" w:rsidP="00485F7E">
      <w:pPr>
        <w:pStyle w:val="01testo"/>
        <w:spacing w:after="0"/>
      </w:pPr>
    </w:p>
    <w:p w14:paraId="393B43BF" w14:textId="5CCA2AF1" w:rsidR="00D0472C" w:rsidRPr="006844FA" w:rsidRDefault="00430855" w:rsidP="00BB7346">
      <w:pPr>
        <w:pStyle w:val="01testo"/>
        <w:rPr>
          <w:spacing w:val="-2"/>
        </w:rPr>
      </w:pPr>
      <w:r w:rsidRPr="006844FA">
        <w:rPr>
          <w:spacing w:val="-2"/>
        </w:rPr>
        <w:t>In media d’anno i</w:t>
      </w:r>
      <w:r w:rsidR="00112796" w:rsidRPr="006844FA">
        <w:rPr>
          <w:spacing w:val="-2"/>
        </w:rPr>
        <w:t>l Pil è previsto segnare un calo significativo</w:t>
      </w:r>
      <w:r w:rsidR="00BB7346" w:rsidRPr="006844FA">
        <w:rPr>
          <w:spacing w:val="-2"/>
        </w:rPr>
        <w:t xml:space="preserve"> </w:t>
      </w:r>
      <w:r w:rsidR="0012725C" w:rsidRPr="006844FA">
        <w:rPr>
          <w:spacing w:val="-2"/>
        </w:rPr>
        <w:t xml:space="preserve">rispetto al 2019 </w:t>
      </w:r>
      <w:r w:rsidR="00BB7346" w:rsidRPr="006844FA">
        <w:rPr>
          <w:spacing w:val="-2"/>
        </w:rPr>
        <w:t>(</w:t>
      </w:r>
      <w:r w:rsidR="00112796" w:rsidRPr="006844FA">
        <w:rPr>
          <w:spacing w:val="-2"/>
        </w:rPr>
        <w:t>-8</w:t>
      </w:r>
      <w:r w:rsidR="00BB7346" w:rsidRPr="006844FA">
        <w:rPr>
          <w:spacing w:val="-2"/>
        </w:rPr>
        <w:t>,</w:t>
      </w:r>
      <w:r w:rsidR="00112796" w:rsidRPr="006844FA">
        <w:rPr>
          <w:spacing w:val="-2"/>
        </w:rPr>
        <w:t>3</w:t>
      </w:r>
      <w:r w:rsidR="00BB7346" w:rsidRPr="006844FA">
        <w:rPr>
          <w:spacing w:val="-2"/>
        </w:rPr>
        <w:t xml:space="preserve">%), </w:t>
      </w:r>
      <w:r w:rsidR="00AA3127" w:rsidRPr="006844FA">
        <w:rPr>
          <w:spacing w:val="-2"/>
        </w:rPr>
        <w:t>influenzato</w:t>
      </w:r>
      <w:r w:rsidR="00F804FF" w:rsidRPr="006844FA">
        <w:rPr>
          <w:spacing w:val="-2"/>
        </w:rPr>
        <w:t xml:space="preserve"> dalla caduta della domanda interna che, al netto delle scorte, contribuirebbe negativamente per 7,2 punti percentuali. Anche la domanda estera netta e le scorte fornirebbero un contributo negativo ma di intensità decisamente ridotta (-0,3 e -0,</w:t>
      </w:r>
      <w:r w:rsidR="00F56BFC" w:rsidRPr="006844FA">
        <w:rPr>
          <w:spacing w:val="-2"/>
        </w:rPr>
        <w:t>8</w:t>
      </w:r>
      <w:r w:rsidR="00F804FF" w:rsidRPr="006844FA">
        <w:rPr>
          <w:spacing w:val="-2"/>
        </w:rPr>
        <w:t xml:space="preserve"> punti percentuali rispettivamente)</w:t>
      </w:r>
      <w:r w:rsidR="004A7204" w:rsidRPr="006844FA">
        <w:rPr>
          <w:spacing w:val="-2"/>
        </w:rPr>
        <w:t>.</w:t>
      </w:r>
      <w:r w:rsidR="001222D0" w:rsidRPr="006844FA">
        <w:rPr>
          <w:spacing w:val="-2"/>
        </w:rPr>
        <w:t xml:space="preserve"> Il percorso di ripresa, previsto rafforzarsi nei prossimi mesi</w:t>
      </w:r>
      <w:r w:rsidR="0012725C" w:rsidRPr="006844FA">
        <w:rPr>
          <w:spacing w:val="-2"/>
        </w:rPr>
        <w:t>,</w:t>
      </w:r>
      <w:r w:rsidR="001222D0" w:rsidRPr="006844FA">
        <w:rPr>
          <w:spacing w:val="-2"/>
        </w:rPr>
        <w:t xml:space="preserve"> produrrà effetti positivi</w:t>
      </w:r>
      <w:r w:rsidR="0010659A" w:rsidRPr="006844FA">
        <w:rPr>
          <w:spacing w:val="-2"/>
        </w:rPr>
        <w:t>, in media d’anno,</w:t>
      </w:r>
      <w:r w:rsidR="001222D0" w:rsidRPr="006844FA">
        <w:rPr>
          <w:spacing w:val="-2"/>
        </w:rPr>
        <w:t xml:space="preserve"> nel</w:t>
      </w:r>
      <w:r w:rsidR="0010659A" w:rsidRPr="006844FA">
        <w:rPr>
          <w:spacing w:val="-2"/>
        </w:rPr>
        <w:t xml:space="preserve"> 2021, </w:t>
      </w:r>
      <w:r w:rsidR="001222D0" w:rsidRPr="006844FA">
        <w:rPr>
          <w:spacing w:val="-2"/>
        </w:rPr>
        <w:t xml:space="preserve">quando il Pil è previsto </w:t>
      </w:r>
      <w:r w:rsidR="0012725C" w:rsidRPr="006844FA">
        <w:rPr>
          <w:spacing w:val="-2"/>
        </w:rPr>
        <w:t>tornare ad aumentare</w:t>
      </w:r>
      <w:r w:rsidR="001222D0" w:rsidRPr="006844FA">
        <w:rPr>
          <w:spacing w:val="-2"/>
        </w:rPr>
        <w:t xml:space="preserve"> (+4,6%) sostenuto dal contributo della domanda interna al netto delle scorte (4,2 punti percentuali) e in misura più contenuta dalla domanda estera netta (0,3 punti percentuali) e dalle scorte (0,1 punti percentuali).</w:t>
      </w:r>
      <w:r w:rsidR="0012725C" w:rsidRPr="006844FA">
        <w:rPr>
          <w:spacing w:val="-2"/>
        </w:rPr>
        <w:t xml:space="preserve"> Nonostante la ripresa, all</w:t>
      </w:r>
      <w:r w:rsidR="00F029FF" w:rsidRPr="006844FA">
        <w:rPr>
          <w:spacing w:val="-2"/>
        </w:rPr>
        <w:t>a fine del 2021 i livelli dei principali aggregati del quadro macroeconomico risulterebbero inferiori a quelli del 2019.</w:t>
      </w:r>
    </w:p>
    <w:p w14:paraId="31A2BC72" w14:textId="77777777" w:rsidR="00002BD4" w:rsidRPr="00BA5651" w:rsidRDefault="00E34CAA" w:rsidP="00BA5651">
      <w:pPr>
        <w:pStyle w:val="013titolosottoparagrafo"/>
      </w:pPr>
      <w:r>
        <w:t>Caduta dei c</w:t>
      </w:r>
      <w:r w:rsidR="009F6D03" w:rsidRPr="00BA5651">
        <w:t>onsumi</w:t>
      </w:r>
      <w:r w:rsidR="00091F7E" w:rsidRPr="00BA5651">
        <w:t xml:space="preserve"> </w:t>
      </w:r>
    </w:p>
    <w:p w14:paraId="4B2434E2" w14:textId="6E0C2E82" w:rsidR="00BB7346" w:rsidRDefault="000E57C9" w:rsidP="00BB7346">
      <w:pPr>
        <w:pStyle w:val="01testo"/>
      </w:pPr>
      <w:r>
        <w:t xml:space="preserve">Nel </w:t>
      </w:r>
      <w:r w:rsidR="00065D2C">
        <w:t xml:space="preserve">corso del </w:t>
      </w:r>
      <w:r>
        <w:t>2019</w:t>
      </w:r>
      <w:r w:rsidR="00C80D2F">
        <w:t>,</w:t>
      </w:r>
      <w:r>
        <w:t xml:space="preserve"> la spesa per consumi finali nazionali </w:t>
      </w:r>
      <w:r w:rsidR="00065D2C">
        <w:t xml:space="preserve">ha manifestato persistenti segnali di debolezza fino alla </w:t>
      </w:r>
      <w:r w:rsidR="00C80D2F">
        <w:t xml:space="preserve">stagnazione </w:t>
      </w:r>
      <w:r w:rsidR="00065D2C">
        <w:t xml:space="preserve">segnata </w:t>
      </w:r>
      <w:r w:rsidR="00BC59B9">
        <w:t>nel quarto trimestre</w:t>
      </w:r>
      <w:r w:rsidR="00065D2C">
        <w:t xml:space="preserve">. Al marginale aumento in media d’anno </w:t>
      </w:r>
      <w:r>
        <w:t>(+0,2% rispetto al 2018</w:t>
      </w:r>
      <w:r w:rsidR="00065D2C">
        <w:t xml:space="preserve">) è </w:t>
      </w:r>
      <w:r w:rsidR="00A214A6">
        <w:t xml:space="preserve">seguita </w:t>
      </w:r>
      <w:r w:rsidR="00065D2C">
        <w:t xml:space="preserve">la caduta dei consumi del primo trimestre </w:t>
      </w:r>
      <w:r w:rsidR="00C80D2F">
        <w:t>2020</w:t>
      </w:r>
      <w:r w:rsidR="00065D2C">
        <w:t>, collegata alle</w:t>
      </w:r>
      <w:r>
        <w:t xml:space="preserve"> misure di </w:t>
      </w:r>
      <w:r w:rsidRPr="002C665F">
        <w:rPr>
          <w:i/>
        </w:rPr>
        <w:t>lockdown</w:t>
      </w:r>
      <w:r w:rsidR="00065D2C">
        <w:t xml:space="preserve">. L’impatto congiunturale </w:t>
      </w:r>
      <w:r w:rsidR="00F80D13">
        <w:t xml:space="preserve">sulla spesa </w:t>
      </w:r>
      <w:r w:rsidR="00C80D2F">
        <w:t xml:space="preserve">complessiva </w:t>
      </w:r>
      <w:r w:rsidR="00F80D13">
        <w:t xml:space="preserve">per consumi </w:t>
      </w:r>
      <w:r w:rsidR="00065D2C">
        <w:t>italiani</w:t>
      </w:r>
      <w:r w:rsidR="006844FA">
        <w:t xml:space="preserve"> </w:t>
      </w:r>
      <w:r w:rsidR="006844FA">
        <w:br/>
      </w:r>
      <w:r w:rsidR="00065D2C">
        <w:lastRenderedPageBreak/>
        <w:t>(</w:t>
      </w:r>
      <w:r w:rsidR="005C2633">
        <w:t>-5,1%</w:t>
      </w:r>
      <w:r w:rsidR="00065D2C">
        <w:t>) è stat</w:t>
      </w:r>
      <w:r w:rsidR="002C665F">
        <w:t>o</w:t>
      </w:r>
      <w:r w:rsidR="00065D2C">
        <w:t xml:space="preserve"> di intensità simile a </w:t>
      </w:r>
      <w:r w:rsidR="00A214A6">
        <w:t xml:space="preserve">quello registrato </w:t>
      </w:r>
      <w:r w:rsidR="00065D2C">
        <w:t>in Spagna</w:t>
      </w:r>
      <w:r w:rsidR="005C2633">
        <w:t xml:space="preserve"> </w:t>
      </w:r>
      <w:r w:rsidR="00065D2C">
        <w:t xml:space="preserve">ma peggiore rispetto a quanto avvenuto in </w:t>
      </w:r>
      <w:r w:rsidR="005C2633">
        <w:t>Francia e Germania (rispettivamente -4,5% e -2,2%)</w:t>
      </w:r>
      <w:r w:rsidR="00F75381">
        <w:t xml:space="preserve">. </w:t>
      </w:r>
    </w:p>
    <w:p w14:paraId="470DA947" w14:textId="5A87012B" w:rsidR="00BB7346" w:rsidRPr="006844FA" w:rsidRDefault="00337877" w:rsidP="00BB7346">
      <w:pPr>
        <w:pStyle w:val="01testo"/>
        <w:rPr>
          <w:spacing w:val="-2"/>
        </w:rPr>
      </w:pPr>
      <w:r w:rsidRPr="006844FA">
        <w:rPr>
          <w:spacing w:val="-2"/>
        </w:rPr>
        <w:t>Considerando il solo aggregato dell</w:t>
      </w:r>
      <w:r w:rsidR="00BB7346" w:rsidRPr="006844FA">
        <w:rPr>
          <w:spacing w:val="-2"/>
        </w:rPr>
        <w:t>e famiglie</w:t>
      </w:r>
      <w:r w:rsidRPr="006844FA">
        <w:rPr>
          <w:spacing w:val="-2"/>
        </w:rPr>
        <w:t>, la caduta dei consumi</w:t>
      </w:r>
      <w:r w:rsidR="00BB7346" w:rsidRPr="006844FA">
        <w:rPr>
          <w:spacing w:val="-2"/>
        </w:rPr>
        <w:t xml:space="preserve"> </w:t>
      </w:r>
      <w:r w:rsidR="00F80D13" w:rsidRPr="006844FA">
        <w:rPr>
          <w:spacing w:val="-2"/>
        </w:rPr>
        <w:t>è stat</w:t>
      </w:r>
      <w:r w:rsidR="00C80D2F" w:rsidRPr="006844FA">
        <w:rPr>
          <w:spacing w:val="-2"/>
        </w:rPr>
        <w:t>a</w:t>
      </w:r>
      <w:r w:rsidR="00F80D13" w:rsidRPr="006844FA">
        <w:rPr>
          <w:spacing w:val="-2"/>
        </w:rPr>
        <w:t xml:space="preserve"> </w:t>
      </w:r>
      <w:r w:rsidRPr="006844FA">
        <w:rPr>
          <w:spacing w:val="-2"/>
        </w:rPr>
        <w:t xml:space="preserve">invece </w:t>
      </w:r>
      <w:r w:rsidR="00F80D13" w:rsidRPr="006844FA">
        <w:rPr>
          <w:spacing w:val="-2"/>
        </w:rPr>
        <w:t xml:space="preserve">più </w:t>
      </w:r>
      <w:r w:rsidR="0010659A" w:rsidRPr="006844FA">
        <w:rPr>
          <w:spacing w:val="-2"/>
        </w:rPr>
        <w:t>marcata</w:t>
      </w:r>
      <w:r w:rsidR="00F80D13" w:rsidRPr="006844FA">
        <w:rPr>
          <w:spacing w:val="-2"/>
        </w:rPr>
        <w:t xml:space="preserve"> in Spagna (-8,2%) rispetto </w:t>
      </w:r>
      <w:r w:rsidRPr="006844FA">
        <w:rPr>
          <w:spacing w:val="-2"/>
        </w:rPr>
        <w:t>all’Italia</w:t>
      </w:r>
      <w:r w:rsidR="00F80D13" w:rsidRPr="006844FA">
        <w:rPr>
          <w:spacing w:val="-2"/>
        </w:rPr>
        <w:t xml:space="preserve"> </w:t>
      </w:r>
      <w:r w:rsidR="00AA3127" w:rsidRPr="006844FA">
        <w:rPr>
          <w:spacing w:val="-2"/>
        </w:rPr>
        <w:t xml:space="preserve">(-6,6%) </w:t>
      </w:r>
      <w:r w:rsidR="005A37C3" w:rsidRPr="006844FA">
        <w:rPr>
          <w:spacing w:val="-2"/>
        </w:rPr>
        <w:t xml:space="preserve">e </w:t>
      </w:r>
      <w:r w:rsidR="00C80D2F" w:rsidRPr="006844FA">
        <w:rPr>
          <w:spacing w:val="-2"/>
        </w:rPr>
        <w:t>minore</w:t>
      </w:r>
      <w:r w:rsidR="005A37C3" w:rsidRPr="006844FA">
        <w:rPr>
          <w:spacing w:val="-2"/>
        </w:rPr>
        <w:t xml:space="preserve"> </w:t>
      </w:r>
      <w:r w:rsidR="00F80D13" w:rsidRPr="006844FA">
        <w:rPr>
          <w:spacing w:val="-2"/>
        </w:rPr>
        <w:t xml:space="preserve">in Francia e Germania (-5,8% e -3,1% rispettivamente). </w:t>
      </w:r>
      <w:r w:rsidR="00C80D2F" w:rsidRPr="006844FA">
        <w:rPr>
          <w:spacing w:val="-2"/>
        </w:rPr>
        <w:t xml:space="preserve">Il calo della spesa per consumi </w:t>
      </w:r>
      <w:r w:rsidR="00100632" w:rsidRPr="006844FA">
        <w:rPr>
          <w:spacing w:val="-2"/>
        </w:rPr>
        <w:t xml:space="preserve">delle famiglie risulta fortemente </w:t>
      </w:r>
      <w:r w:rsidR="00A214A6" w:rsidRPr="006844FA">
        <w:rPr>
          <w:spacing w:val="-2"/>
        </w:rPr>
        <w:t xml:space="preserve">influenzato </w:t>
      </w:r>
      <w:r w:rsidR="00100632" w:rsidRPr="006844FA">
        <w:rPr>
          <w:spacing w:val="-2"/>
        </w:rPr>
        <w:t>dalla contrazione degli acquisti di beni durevoli</w:t>
      </w:r>
      <w:r w:rsidR="00A25BFB" w:rsidRPr="006844FA">
        <w:rPr>
          <w:spacing w:val="-2"/>
        </w:rPr>
        <w:t xml:space="preserve"> e </w:t>
      </w:r>
      <w:r w:rsidR="00A214A6" w:rsidRPr="006844FA">
        <w:rPr>
          <w:spacing w:val="-2"/>
        </w:rPr>
        <w:t xml:space="preserve">di </w:t>
      </w:r>
      <w:r w:rsidR="00A25BFB" w:rsidRPr="006844FA">
        <w:rPr>
          <w:spacing w:val="-2"/>
        </w:rPr>
        <w:t>servizi</w:t>
      </w:r>
      <w:r w:rsidR="00100632" w:rsidRPr="006844FA">
        <w:rPr>
          <w:spacing w:val="-2"/>
        </w:rPr>
        <w:t>, più accentuat</w:t>
      </w:r>
      <w:r w:rsidR="00A25BFB" w:rsidRPr="006844FA">
        <w:rPr>
          <w:spacing w:val="-2"/>
        </w:rPr>
        <w:t>e</w:t>
      </w:r>
      <w:r w:rsidR="00100632" w:rsidRPr="006844FA">
        <w:rPr>
          <w:spacing w:val="-2"/>
        </w:rPr>
        <w:t xml:space="preserve"> in Italia (</w:t>
      </w:r>
      <w:r w:rsidR="00A25BFB" w:rsidRPr="006844FA">
        <w:rPr>
          <w:spacing w:val="-2"/>
        </w:rPr>
        <w:t>rispettivamente</w:t>
      </w:r>
      <w:r w:rsidR="006844FA" w:rsidRPr="006844FA">
        <w:rPr>
          <w:spacing w:val="-2"/>
        </w:rPr>
        <w:t xml:space="preserve"> </w:t>
      </w:r>
      <w:r w:rsidR="00100632" w:rsidRPr="006844FA">
        <w:rPr>
          <w:spacing w:val="-2"/>
        </w:rPr>
        <w:t>-17,5%</w:t>
      </w:r>
      <w:r w:rsidR="00A25BFB" w:rsidRPr="006844FA">
        <w:rPr>
          <w:spacing w:val="-2"/>
        </w:rPr>
        <w:t xml:space="preserve"> e -9,2%</w:t>
      </w:r>
      <w:r w:rsidR="00100632" w:rsidRPr="006844FA">
        <w:rPr>
          <w:spacing w:val="-2"/>
        </w:rPr>
        <w:t xml:space="preserve">) </w:t>
      </w:r>
      <w:r w:rsidR="00A25BFB" w:rsidRPr="006844FA">
        <w:rPr>
          <w:spacing w:val="-2"/>
        </w:rPr>
        <w:t xml:space="preserve">rispetto agli altri </w:t>
      </w:r>
      <w:r w:rsidR="00A214A6" w:rsidRPr="006844FA">
        <w:rPr>
          <w:spacing w:val="-2"/>
        </w:rPr>
        <w:t>p</w:t>
      </w:r>
      <w:r w:rsidR="00A25BFB" w:rsidRPr="006844FA">
        <w:rPr>
          <w:spacing w:val="-2"/>
        </w:rPr>
        <w:t xml:space="preserve">aesi. </w:t>
      </w:r>
      <w:r w:rsidR="0080534B" w:rsidRPr="006844FA">
        <w:rPr>
          <w:spacing w:val="-2"/>
        </w:rPr>
        <w:t xml:space="preserve">I </w:t>
      </w:r>
      <w:r w:rsidR="00BB7346" w:rsidRPr="006844FA">
        <w:rPr>
          <w:spacing w:val="-2"/>
        </w:rPr>
        <w:t xml:space="preserve">beni di consumo non durevoli hanno </w:t>
      </w:r>
      <w:r w:rsidR="00A25BFB" w:rsidRPr="006844FA">
        <w:rPr>
          <w:spacing w:val="-2"/>
        </w:rPr>
        <w:t>invece manifestato una sostanziale tenuta</w:t>
      </w:r>
      <w:r w:rsidR="00A214A6" w:rsidRPr="006844FA">
        <w:rPr>
          <w:spacing w:val="-2"/>
        </w:rPr>
        <w:t>,</w:t>
      </w:r>
      <w:r w:rsidR="00A25BFB" w:rsidRPr="006844FA">
        <w:rPr>
          <w:spacing w:val="-2"/>
        </w:rPr>
        <w:t xml:space="preserve"> segnando un aumento in Germania</w:t>
      </w:r>
      <w:r w:rsidR="00346A35" w:rsidRPr="006844FA">
        <w:rPr>
          <w:spacing w:val="-2"/>
        </w:rPr>
        <w:t xml:space="preserve"> (+0,7%) e </w:t>
      </w:r>
      <w:r w:rsidR="00A25BFB" w:rsidRPr="006844FA">
        <w:rPr>
          <w:spacing w:val="-2"/>
        </w:rPr>
        <w:t>riduzioni contenute</w:t>
      </w:r>
      <w:r w:rsidR="00346A35" w:rsidRPr="006844FA">
        <w:rPr>
          <w:spacing w:val="-2"/>
        </w:rPr>
        <w:t xml:space="preserve"> in Italia (-0,9%) </w:t>
      </w:r>
      <w:r w:rsidR="00A25BFB" w:rsidRPr="006844FA">
        <w:rPr>
          <w:spacing w:val="-2"/>
        </w:rPr>
        <w:t xml:space="preserve">e </w:t>
      </w:r>
      <w:r w:rsidR="00346A35" w:rsidRPr="006844FA">
        <w:rPr>
          <w:spacing w:val="-2"/>
        </w:rPr>
        <w:t>Francia (-1,1</w:t>
      </w:r>
      <w:r w:rsidR="00422CAC" w:rsidRPr="006844FA">
        <w:rPr>
          <w:spacing w:val="-2"/>
        </w:rPr>
        <w:t>%).</w:t>
      </w:r>
    </w:p>
    <w:p w14:paraId="7223E733" w14:textId="48AED1D6" w:rsidR="00474B14" w:rsidRDefault="00A25BFB" w:rsidP="00BB7346">
      <w:pPr>
        <w:pStyle w:val="01testo"/>
      </w:pPr>
      <w:r>
        <w:t>In Italia</w:t>
      </w:r>
      <w:r w:rsidR="00C80D2F">
        <w:t>,</w:t>
      </w:r>
      <w:r>
        <w:t xml:space="preserve"> gli ultimi dati sulle vendite al dettaglio riferite ad aprile, mese caratterizzato dalla presenza delle misure di </w:t>
      </w:r>
      <w:r w:rsidRPr="003D256D">
        <w:rPr>
          <w:i/>
        </w:rPr>
        <w:t>lockdown</w:t>
      </w:r>
      <w:r>
        <w:t xml:space="preserve"> più incisive, segnalano un deciso calo in volume rispetto al mese precedente (-</w:t>
      </w:r>
      <w:r w:rsidRPr="00A25BFB">
        <w:t>11,4%</w:t>
      </w:r>
      <w:r>
        <w:t xml:space="preserve">) </w:t>
      </w:r>
      <w:r w:rsidR="00DF2D5B">
        <w:t xml:space="preserve">a sintesi di un andamento fortemente differenziato tra </w:t>
      </w:r>
      <w:r w:rsidRPr="00A25BFB">
        <w:t>le vendite dei beni non alimentari</w:t>
      </w:r>
      <w:r>
        <w:t xml:space="preserve"> (-</w:t>
      </w:r>
      <w:r w:rsidR="00DF2D5B">
        <w:t>24,5%) e quelle d</w:t>
      </w:r>
      <w:r w:rsidRPr="00A25BFB">
        <w:t>i beni alimentari (</w:t>
      </w:r>
      <w:r w:rsidR="00422CAC">
        <w:t>-</w:t>
      </w:r>
      <w:r w:rsidRPr="00A25BFB">
        <w:t>0,</w:t>
      </w:r>
      <w:r w:rsidR="00422CAC">
        <w:t>4</w:t>
      </w:r>
      <w:r w:rsidRPr="00A25BFB">
        <w:t>%)</w:t>
      </w:r>
      <w:r w:rsidR="00DF2D5B">
        <w:t>. T</w:t>
      </w:r>
      <w:r w:rsidR="00474B14">
        <w:t>ra i prodotti non alimentari la contrazione più marcata è stata segnata da calzature, mobili, articoli tessili, arredamento e abbigliamento e pellicceria.</w:t>
      </w:r>
      <w:r w:rsidR="00DF2D5B">
        <w:t xml:space="preserve"> Nello stesso mese</w:t>
      </w:r>
      <w:r w:rsidR="00C80D2F">
        <w:t>,</w:t>
      </w:r>
      <w:r w:rsidR="00DF2D5B">
        <w:t xml:space="preserve"> è proseguito l’aumento del commercio elettronico (+27,1% il valore delle vendite rispetto ad aprile 2019). </w:t>
      </w:r>
    </w:p>
    <w:p w14:paraId="66698AA2" w14:textId="7E3BBA37" w:rsidR="00100632" w:rsidRPr="004D66AF" w:rsidRDefault="00B7346B" w:rsidP="00854700">
      <w:pPr>
        <w:pStyle w:val="01testo"/>
      </w:pPr>
      <w:r w:rsidRPr="004D66AF">
        <w:t xml:space="preserve">I dati più recenti sul clima di fiducia dei consumatori relativi a maggio 2020 </w:t>
      </w:r>
      <w:r w:rsidR="0010659A" w:rsidRPr="004D66AF">
        <w:t>confermano un quadro di difficoltà</w:t>
      </w:r>
      <w:r w:rsidR="00AA3127" w:rsidRPr="004D66AF">
        <w:t>.</w:t>
      </w:r>
      <w:r w:rsidR="0010659A" w:rsidRPr="004D66AF">
        <w:t xml:space="preserve"> Rispetto a marzo l</w:t>
      </w:r>
      <w:r w:rsidR="00831D86" w:rsidRPr="004D66AF">
        <w:t xml:space="preserve">a diminuzione è </w:t>
      </w:r>
      <w:r w:rsidR="00430855">
        <w:t>ampia</w:t>
      </w:r>
      <w:r w:rsidR="00831D86" w:rsidRPr="004D66AF">
        <w:t xml:space="preserve"> per il clima economico e corrente mentre il clima personale e quello futuro registrano diminuzioni di minore entità. Inoltre</w:t>
      </w:r>
      <w:r w:rsidR="00C80D2F" w:rsidRPr="004D66AF">
        <w:t>,</w:t>
      </w:r>
      <w:r w:rsidR="00831D86" w:rsidRPr="004D66AF">
        <w:t xml:space="preserve"> le attese sulla situazione economica dell’Italia hanno segnato un miglioramento pur rimanendo a livelli molto bassi. </w:t>
      </w:r>
    </w:p>
    <w:p w14:paraId="79F85379" w14:textId="4848F8E1" w:rsidR="007324A0" w:rsidRPr="004D66AF" w:rsidRDefault="00100632" w:rsidP="00100632">
      <w:pPr>
        <w:pStyle w:val="01testo"/>
        <w:rPr>
          <w:spacing w:val="2"/>
          <w:highlight w:val="yellow"/>
        </w:rPr>
      </w:pPr>
      <w:r w:rsidRPr="004D66AF">
        <w:rPr>
          <w:spacing w:val="2"/>
        </w:rPr>
        <w:t>Il peggioramento delle condizioni del mercato del lavoro</w:t>
      </w:r>
      <w:r w:rsidR="0010659A" w:rsidRPr="004D66AF">
        <w:rPr>
          <w:spacing w:val="2"/>
        </w:rPr>
        <w:t xml:space="preserve"> e dell’attività produttiva</w:t>
      </w:r>
      <w:r w:rsidRPr="004D66AF">
        <w:rPr>
          <w:spacing w:val="2"/>
        </w:rPr>
        <w:t>, parzialmente attenuat</w:t>
      </w:r>
      <w:r w:rsidR="00F56BFC">
        <w:rPr>
          <w:spacing w:val="2"/>
        </w:rPr>
        <w:t>i</w:t>
      </w:r>
      <w:r w:rsidRPr="004D66AF">
        <w:rPr>
          <w:spacing w:val="2"/>
        </w:rPr>
        <w:t xml:space="preserve"> dai provvedimenti del Governo, sono </w:t>
      </w:r>
      <w:r w:rsidR="00A214A6" w:rsidRPr="004D66AF">
        <w:rPr>
          <w:spacing w:val="2"/>
        </w:rPr>
        <w:t xml:space="preserve">attesi </w:t>
      </w:r>
      <w:r w:rsidR="00430855">
        <w:rPr>
          <w:spacing w:val="2"/>
        </w:rPr>
        <w:t>produrre</w:t>
      </w:r>
      <w:r w:rsidRPr="004D66AF">
        <w:rPr>
          <w:spacing w:val="2"/>
        </w:rPr>
        <w:t xml:space="preserve"> un effetto marcato sui comportamenti di spesa </w:t>
      </w:r>
      <w:r w:rsidR="00EC380F" w:rsidRPr="004D66AF">
        <w:rPr>
          <w:spacing w:val="2"/>
        </w:rPr>
        <w:t xml:space="preserve">delle famiglie </w:t>
      </w:r>
      <w:r w:rsidRPr="004D66AF">
        <w:rPr>
          <w:spacing w:val="2"/>
        </w:rPr>
        <w:t>per l’anno corrente (-8,</w:t>
      </w:r>
      <w:r w:rsidR="00EC380F" w:rsidRPr="004D66AF">
        <w:rPr>
          <w:spacing w:val="2"/>
        </w:rPr>
        <w:t>7</w:t>
      </w:r>
      <w:r w:rsidRPr="004D66AF">
        <w:rPr>
          <w:spacing w:val="2"/>
        </w:rPr>
        <w:t>%) e un miglioramento nell’anno successivi (+5,</w:t>
      </w:r>
      <w:r w:rsidR="00EC380F" w:rsidRPr="004D66AF">
        <w:rPr>
          <w:spacing w:val="2"/>
        </w:rPr>
        <w:t>0</w:t>
      </w:r>
      <w:r w:rsidRPr="004D66AF">
        <w:rPr>
          <w:spacing w:val="2"/>
        </w:rPr>
        <w:t xml:space="preserve">%) in linea </w:t>
      </w:r>
      <w:r w:rsidR="0010659A" w:rsidRPr="004D66AF">
        <w:rPr>
          <w:spacing w:val="2"/>
        </w:rPr>
        <w:t xml:space="preserve">soprattutto </w:t>
      </w:r>
      <w:r w:rsidRPr="004D66AF">
        <w:rPr>
          <w:spacing w:val="2"/>
        </w:rPr>
        <w:t>con la prevista ripresa dell’occupazione</w:t>
      </w:r>
      <w:r w:rsidR="00F10566" w:rsidRPr="004D66AF">
        <w:rPr>
          <w:spacing w:val="2"/>
        </w:rPr>
        <w:t>.</w:t>
      </w:r>
      <w:r w:rsidR="00BB7346" w:rsidRPr="004D66AF">
        <w:rPr>
          <w:spacing w:val="2"/>
        </w:rPr>
        <w:t xml:space="preserve"> </w:t>
      </w:r>
      <w:r w:rsidR="005A37C3" w:rsidRPr="004D66AF">
        <w:rPr>
          <w:spacing w:val="2"/>
        </w:rPr>
        <w:t>Le maggiori spe</w:t>
      </w:r>
      <w:r w:rsidR="00C80D2F" w:rsidRPr="004D66AF">
        <w:rPr>
          <w:spacing w:val="2"/>
        </w:rPr>
        <w:t>s</w:t>
      </w:r>
      <w:r w:rsidR="005A37C3" w:rsidRPr="004D66AF">
        <w:rPr>
          <w:spacing w:val="2"/>
        </w:rPr>
        <w:t xml:space="preserve">e </w:t>
      </w:r>
      <w:r w:rsidR="00EC380F" w:rsidRPr="004D66AF">
        <w:rPr>
          <w:spacing w:val="2"/>
        </w:rPr>
        <w:t>indicate</w:t>
      </w:r>
      <w:r w:rsidR="005A37C3" w:rsidRPr="004D66AF">
        <w:rPr>
          <w:spacing w:val="2"/>
        </w:rPr>
        <w:t xml:space="preserve"> dal Governo per fronteggiare la pandemia sono attese sostenere i</w:t>
      </w:r>
      <w:r w:rsidR="002F4A55" w:rsidRPr="004D66AF">
        <w:rPr>
          <w:spacing w:val="2"/>
        </w:rPr>
        <w:t xml:space="preserve"> </w:t>
      </w:r>
      <w:r w:rsidR="00BB7346" w:rsidRPr="004D66AF">
        <w:rPr>
          <w:spacing w:val="2"/>
        </w:rPr>
        <w:t>consumi della PA</w:t>
      </w:r>
      <w:r w:rsidR="005A37C3" w:rsidRPr="004D66AF">
        <w:rPr>
          <w:spacing w:val="2"/>
        </w:rPr>
        <w:t xml:space="preserve"> nell’anno corrente</w:t>
      </w:r>
      <w:r w:rsidR="002F4A55" w:rsidRPr="004D66AF">
        <w:rPr>
          <w:spacing w:val="2"/>
        </w:rPr>
        <w:t xml:space="preserve"> (+</w:t>
      </w:r>
      <w:r w:rsidR="005A37C3" w:rsidRPr="004D66AF">
        <w:rPr>
          <w:spacing w:val="2"/>
        </w:rPr>
        <w:t>1</w:t>
      </w:r>
      <w:r w:rsidR="002F4A55" w:rsidRPr="004D66AF">
        <w:rPr>
          <w:spacing w:val="2"/>
        </w:rPr>
        <w:t>,</w:t>
      </w:r>
      <w:r w:rsidR="00422CAC" w:rsidRPr="004D66AF">
        <w:rPr>
          <w:spacing w:val="2"/>
        </w:rPr>
        <w:t>6</w:t>
      </w:r>
      <w:r w:rsidR="002F4A55" w:rsidRPr="004D66AF">
        <w:rPr>
          <w:spacing w:val="2"/>
        </w:rPr>
        <w:t>%</w:t>
      </w:r>
      <w:r w:rsidR="00BB7346" w:rsidRPr="004D66AF">
        <w:rPr>
          <w:spacing w:val="2"/>
        </w:rPr>
        <w:t>)</w:t>
      </w:r>
      <w:r w:rsidR="00A77423" w:rsidRPr="004D66AF">
        <w:rPr>
          <w:spacing w:val="2"/>
        </w:rPr>
        <w:t xml:space="preserve"> </w:t>
      </w:r>
      <w:r w:rsidR="005A37C3" w:rsidRPr="004D66AF">
        <w:rPr>
          <w:spacing w:val="2"/>
        </w:rPr>
        <w:t>mentre</w:t>
      </w:r>
      <w:r w:rsidR="00A77423" w:rsidRPr="004D66AF">
        <w:rPr>
          <w:spacing w:val="2"/>
        </w:rPr>
        <w:t xml:space="preserve"> ne</w:t>
      </w:r>
      <w:r w:rsidR="00C80D2F" w:rsidRPr="004D66AF">
        <w:rPr>
          <w:spacing w:val="2"/>
        </w:rPr>
        <w:t>l 2021</w:t>
      </w:r>
      <w:r w:rsidR="005A37C3" w:rsidRPr="004D66AF">
        <w:rPr>
          <w:spacing w:val="2"/>
        </w:rPr>
        <w:t xml:space="preserve"> si registrerebbe un sostanziale </w:t>
      </w:r>
      <w:r w:rsidR="00EC380F" w:rsidRPr="004D66AF">
        <w:rPr>
          <w:spacing w:val="2"/>
        </w:rPr>
        <w:t>mantenimento dei livelli raggiunti (+0,3%)</w:t>
      </w:r>
      <w:r w:rsidR="00BB7346" w:rsidRPr="004D66AF">
        <w:rPr>
          <w:spacing w:val="2"/>
        </w:rPr>
        <w:t xml:space="preserve">. </w:t>
      </w:r>
    </w:p>
    <w:p w14:paraId="46A73501" w14:textId="77777777" w:rsidR="00D00A29" w:rsidRPr="0000628C" w:rsidRDefault="00944BE6" w:rsidP="0000628C">
      <w:pPr>
        <w:pStyle w:val="013titolosottoparagrafo"/>
      </w:pPr>
      <w:r>
        <w:t>Brusca frenata del processo di accumulazione del capitale</w:t>
      </w:r>
    </w:p>
    <w:p w14:paraId="17A93E82" w14:textId="54E332E6" w:rsidR="00CB0141" w:rsidRPr="004D66AF" w:rsidRDefault="00944BE6" w:rsidP="00944BE6">
      <w:pPr>
        <w:pStyle w:val="01testo"/>
      </w:pPr>
      <w:r w:rsidRPr="004D66AF">
        <w:t>Nel 2019</w:t>
      </w:r>
      <w:r w:rsidR="00C80D2F" w:rsidRPr="004D66AF">
        <w:t>,</w:t>
      </w:r>
      <w:r w:rsidRPr="004D66AF">
        <w:t xml:space="preserve"> </w:t>
      </w:r>
      <w:r w:rsidR="00C47EEB" w:rsidRPr="004D66AF">
        <w:t>in Italia gli investimenti hanno segnato una decisa decelerazione</w:t>
      </w:r>
      <w:r w:rsidRPr="004D66AF">
        <w:t xml:space="preserve"> </w:t>
      </w:r>
      <w:r w:rsidR="0014195B" w:rsidRPr="004D66AF">
        <w:t>(+1,4</w:t>
      </w:r>
      <w:r w:rsidR="00C80D2F" w:rsidRPr="004D66AF">
        <w:t xml:space="preserve">% da </w:t>
      </w:r>
      <w:r w:rsidRPr="004D66AF">
        <w:t>+3,1% del 2018</w:t>
      </w:r>
      <w:r w:rsidR="00C80D2F" w:rsidRPr="004D66AF">
        <w:t>)</w:t>
      </w:r>
      <w:r w:rsidRPr="004D66AF">
        <w:t xml:space="preserve"> </w:t>
      </w:r>
      <w:r w:rsidR="00C80D2F" w:rsidRPr="004D66AF">
        <w:t xml:space="preserve">segnando </w:t>
      </w:r>
      <w:r w:rsidR="00C47EEB" w:rsidRPr="004D66AF">
        <w:t>un aumento più contenuto rispetto ai principali</w:t>
      </w:r>
      <w:r w:rsidRPr="004D66AF">
        <w:t xml:space="preserve"> paesi europei </w:t>
      </w:r>
      <w:r w:rsidR="00C80D2F" w:rsidRPr="004D66AF">
        <w:t>(</w:t>
      </w:r>
      <w:r w:rsidR="00CB0141" w:rsidRPr="004D66AF">
        <w:t xml:space="preserve">Francia +3,6%, </w:t>
      </w:r>
      <w:r w:rsidRPr="004D66AF">
        <w:t>Germania +2,6%</w:t>
      </w:r>
      <w:r w:rsidR="00CB0141" w:rsidRPr="004D66AF">
        <w:t xml:space="preserve"> </w:t>
      </w:r>
      <w:r w:rsidR="00DC4ED5" w:rsidRPr="004D66AF">
        <w:t>e</w:t>
      </w:r>
      <w:r w:rsidRPr="004D66AF">
        <w:t xml:space="preserve"> Spagna</w:t>
      </w:r>
      <w:r w:rsidR="00C47EEB" w:rsidRPr="004D66AF">
        <w:t xml:space="preserve"> </w:t>
      </w:r>
      <w:r w:rsidRPr="004D66AF">
        <w:t xml:space="preserve">+1,8%). </w:t>
      </w:r>
      <w:r w:rsidR="00151644" w:rsidRPr="004D66AF">
        <w:t>Seppure in moderato aumento, la quota degli investimenti italiani sul Pil (18,</w:t>
      </w:r>
      <w:r w:rsidR="00047F6F">
        <w:t>1</w:t>
      </w:r>
      <w:r w:rsidR="00151644" w:rsidRPr="004D66AF">
        <w:t xml:space="preserve">% nel 2019) si mantiene inferiore di circa un punto </w:t>
      </w:r>
      <w:r w:rsidR="00422CAC" w:rsidRPr="004D66AF">
        <w:t xml:space="preserve">percentuale </w:t>
      </w:r>
      <w:r w:rsidR="00151644" w:rsidRPr="004D66AF">
        <w:t>rispetto al livello raggiunto nel 2011 e di più di 2 punti rispetto al 2008.</w:t>
      </w:r>
    </w:p>
    <w:p w14:paraId="52CFBE38" w14:textId="7D75C76F" w:rsidR="00944BE6" w:rsidRPr="004D66AF" w:rsidRDefault="00944BE6" w:rsidP="00944BE6">
      <w:pPr>
        <w:pStyle w:val="01testo"/>
      </w:pPr>
      <w:r w:rsidRPr="004D66AF">
        <w:t>Nel primo trimestre del 2020</w:t>
      </w:r>
      <w:r w:rsidR="00DC4ED5" w:rsidRPr="004D66AF">
        <w:t>,</w:t>
      </w:r>
      <w:r w:rsidRPr="004D66AF">
        <w:t xml:space="preserve"> </w:t>
      </w:r>
      <w:r w:rsidR="00151644" w:rsidRPr="004D66AF">
        <w:t xml:space="preserve">la parziale chiusura delle attività produttive </w:t>
      </w:r>
      <w:r w:rsidR="00F56BFC">
        <w:t>indotta</w:t>
      </w:r>
      <w:r w:rsidR="00151644" w:rsidRPr="004D66AF">
        <w:t xml:space="preserve"> dalle misure di contenimento, l’aumento dell’incertezza e il considerevole ridimensionamento delle aspettative sull’attività economica hanno determinato </w:t>
      </w:r>
      <w:r w:rsidRPr="004D66AF">
        <w:t>u</w:t>
      </w:r>
      <w:r w:rsidR="00DC4ED5" w:rsidRPr="004D66AF">
        <w:t>n</w:t>
      </w:r>
      <w:r w:rsidRPr="004D66AF">
        <w:t xml:space="preserve"> brusc</w:t>
      </w:r>
      <w:r w:rsidR="00DC4ED5" w:rsidRPr="004D66AF">
        <w:t>o</w:t>
      </w:r>
      <w:r w:rsidRPr="004D66AF">
        <w:t xml:space="preserve"> </w:t>
      </w:r>
      <w:r w:rsidR="00DC4ED5" w:rsidRPr="004D66AF">
        <w:t>calo</w:t>
      </w:r>
      <w:r w:rsidRPr="004D66AF">
        <w:t xml:space="preserve"> </w:t>
      </w:r>
      <w:r w:rsidR="00151644" w:rsidRPr="004D66AF">
        <w:t>degli investimenti (</w:t>
      </w:r>
      <w:r w:rsidRPr="004D66AF">
        <w:t>-8,1%</w:t>
      </w:r>
      <w:r w:rsidR="00151644" w:rsidRPr="004D66AF">
        <w:t xml:space="preserve">). In particolare si è contratta in misura marcata </w:t>
      </w:r>
      <w:r w:rsidRPr="004D66AF">
        <w:t xml:space="preserve">la spesa per macchinari </w:t>
      </w:r>
      <w:r w:rsidR="00151644" w:rsidRPr="004D66AF">
        <w:t>(</w:t>
      </w:r>
      <w:r w:rsidRPr="004D66AF">
        <w:t>-12,4%</w:t>
      </w:r>
      <w:r w:rsidR="00151644" w:rsidRPr="004D66AF">
        <w:t>), trascinati dal risultato negativo dei mezzi di trasporto (-21,5%),</w:t>
      </w:r>
      <w:r w:rsidRPr="004D66AF">
        <w:t xml:space="preserve"> e </w:t>
      </w:r>
      <w:r w:rsidR="00151644" w:rsidRPr="004D66AF">
        <w:t xml:space="preserve">di </w:t>
      </w:r>
      <w:r w:rsidRPr="004D66AF">
        <w:t xml:space="preserve">quella </w:t>
      </w:r>
      <w:r w:rsidR="00151644" w:rsidRPr="004D66AF">
        <w:t>in costruzioni (-7,9%)</w:t>
      </w:r>
      <w:r w:rsidRPr="004D66AF">
        <w:t xml:space="preserve">. </w:t>
      </w:r>
    </w:p>
    <w:p w14:paraId="06C13EA4" w14:textId="5FB6758E" w:rsidR="00C47EEB" w:rsidRPr="005F2269" w:rsidRDefault="00C47EEB" w:rsidP="00944BE6">
      <w:pPr>
        <w:pStyle w:val="01testo"/>
        <w:rPr>
          <w:spacing w:val="4"/>
        </w:rPr>
      </w:pPr>
      <w:r w:rsidRPr="005F2269">
        <w:rPr>
          <w:spacing w:val="4"/>
        </w:rPr>
        <w:t>Il recente allentamento delle misure di contenimento ha permesso la ripresa di alcune produzion</w:t>
      </w:r>
      <w:r w:rsidR="00422CAC" w:rsidRPr="005F2269">
        <w:rPr>
          <w:spacing w:val="4"/>
        </w:rPr>
        <w:t>i</w:t>
      </w:r>
      <w:r w:rsidRPr="005F2269">
        <w:rPr>
          <w:spacing w:val="4"/>
        </w:rPr>
        <w:t xml:space="preserve"> ma le condizioni sfavorevoli legate all’incertezza </w:t>
      </w:r>
      <w:r w:rsidR="00422CAC" w:rsidRPr="005F2269">
        <w:rPr>
          <w:spacing w:val="4"/>
        </w:rPr>
        <w:t>sul recupero</w:t>
      </w:r>
      <w:r w:rsidRPr="005F2269">
        <w:rPr>
          <w:spacing w:val="4"/>
        </w:rPr>
        <w:t xml:space="preserve"> della domanda </w:t>
      </w:r>
      <w:r w:rsidR="00A9636F" w:rsidRPr="005F2269">
        <w:rPr>
          <w:spacing w:val="4"/>
        </w:rPr>
        <w:t xml:space="preserve">costituiranno un ambiente sfavorevole per </w:t>
      </w:r>
      <w:r w:rsidR="00422CAC" w:rsidRPr="005F2269">
        <w:rPr>
          <w:spacing w:val="4"/>
        </w:rPr>
        <w:t>il riavvio</w:t>
      </w:r>
      <w:r w:rsidR="00A9636F" w:rsidRPr="005F2269">
        <w:rPr>
          <w:spacing w:val="4"/>
        </w:rPr>
        <w:t xml:space="preserve"> del processo di accumulazione del capitale anche in presenza di una ipotesi di assenza di </w:t>
      </w:r>
      <w:r w:rsidR="00422CAC" w:rsidRPr="005F2269">
        <w:rPr>
          <w:spacing w:val="4"/>
        </w:rPr>
        <w:t>restrizioni</w:t>
      </w:r>
      <w:r w:rsidR="00A9636F" w:rsidRPr="005F2269">
        <w:rPr>
          <w:spacing w:val="4"/>
        </w:rPr>
        <w:t xml:space="preserve"> del credito</w:t>
      </w:r>
      <w:r w:rsidRPr="005F2269">
        <w:rPr>
          <w:spacing w:val="4"/>
        </w:rPr>
        <w:t xml:space="preserve">. </w:t>
      </w:r>
      <w:r w:rsidR="00A9636F" w:rsidRPr="005F2269">
        <w:rPr>
          <w:spacing w:val="4"/>
        </w:rPr>
        <w:t xml:space="preserve">Il proseguimento della fase di </w:t>
      </w:r>
      <w:r w:rsidR="00422CAC" w:rsidRPr="005F2269">
        <w:rPr>
          <w:spacing w:val="4"/>
        </w:rPr>
        <w:t>contrazione</w:t>
      </w:r>
      <w:r w:rsidR="00A9636F" w:rsidRPr="005F2269">
        <w:rPr>
          <w:spacing w:val="4"/>
        </w:rPr>
        <w:t xml:space="preserve"> della spesa in macchinari e in costruzioni determinerà una marcata riduzione degli investimenti totali (-12,5%) </w:t>
      </w:r>
      <w:r w:rsidR="00E34CAA" w:rsidRPr="005F2269">
        <w:rPr>
          <w:spacing w:val="4"/>
        </w:rPr>
        <w:t>con una conseguente</w:t>
      </w:r>
      <w:r w:rsidR="00A9636F" w:rsidRPr="005F2269">
        <w:rPr>
          <w:spacing w:val="4"/>
        </w:rPr>
        <w:t xml:space="preserve"> riduzione </w:t>
      </w:r>
      <w:r w:rsidR="00E34CAA" w:rsidRPr="005F2269">
        <w:rPr>
          <w:spacing w:val="4"/>
        </w:rPr>
        <w:t>dell</w:t>
      </w:r>
      <w:r w:rsidR="004F2F29" w:rsidRPr="005F2269">
        <w:rPr>
          <w:spacing w:val="4"/>
        </w:rPr>
        <w:t>a quota di investimenti sul Pil</w:t>
      </w:r>
      <w:r w:rsidR="00E34CAA" w:rsidRPr="005F2269">
        <w:rPr>
          <w:spacing w:val="4"/>
        </w:rPr>
        <w:t>.</w:t>
      </w:r>
    </w:p>
    <w:p w14:paraId="3E8CDA51" w14:textId="520685C5" w:rsidR="00AE4C7F" w:rsidRPr="00345D61" w:rsidRDefault="00422CAC" w:rsidP="00944BE6">
      <w:pPr>
        <w:pStyle w:val="01testo"/>
      </w:pPr>
      <w:r>
        <w:t>La</w:t>
      </w:r>
      <w:r w:rsidR="00E34CAA">
        <w:t xml:space="preserve"> normalizzazione delle attività produttive prevista a partire dal secondo semestre dell’anno è attesa sostenere la ripresa dell’attività di investimento </w:t>
      </w:r>
      <w:r>
        <w:t xml:space="preserve">anche </w:t>
      </w:r>
      <w:r w:rsidR="00E34CAA">
        <w:t>n</w:t>
      </w:r>
      <w:r w:rsidR="00944BE6">
        <w:t>el 2021</w:t>
      </w:r>
      <w:r w:rsidR="00E34CAA">
        <w:t xml:space="preserve"> (+6,3%) con effetti limitati però sulla quota rispetto al Pil che dovrebbe rimanere inferiore al 18</w:t>
      </w:r>
      <w:r>
        <w:t>%.</w:t>
      </w:r>
    </w:p>
    <w:p w14:paraId="3CA02CDE" w14:textId="77777777" w:rsidR="00FE708C" w:rsidRPr="0000628C" w:rsidRDefault="00790A29" w:rsidP="0000628C">
      <w:pPr>
        <w:pStyle w:val="013titolosottoparagrafo"/>
      </w:pPr>
      <w:r>
        <w:t xml:space="preserve">Crollo </w:t>
      </w:r>
      <w:r w:rsidR="0086733E">
        <w:t>del commercio estero</w:t>
      </w:r>
    </w:p>
    <w:p w14:paraId="67E61983" w14:textId="7567D6EF" w:rsidR="0035114C" w:rsidRPr="00B60D45" w:rsidRDefault="00790A29" w:rsidP="005F2269">
      <w:pPr>
        <w:pStyle w:val="013titolosottoparagrafo"/>
        <w:spacing w:before="0"/>
        <w:jc w:val="both"/>
        <w:rPr>
          <w:bCs w:val="0"/>
          <w:i w:val="0"/>
          <w:iCs/>
          <w:spacing w:val="4"/>
          <w:sz w:val="20"/>
        </w:rPr>
      </w:pPr>
      <w:r w:rsidRPr="00B60D45">
        <w:rPr>
          <w:bCs w:val="0"/>
          <w:i w:val="0"/>
          <w:iCs/>
          <w:spacing w:val="4"/>
          <w:sz w:val="20"/>
        </w:rPr>
        <w:t xml:space="preserve">Dopo un anno caratterizzato da un rallentamento degli scambi, all’inizio del 2020 sia le esportazioni </w:t>
      </w:r>
      <w:r w:rsidR="008124FB" w:rsidRPr="00B60D45">
        <w:rPr>
          <w:bCs w:val="0"/>
          <w:i w:val="0"/>
          <w:iCs/>
          <w:spacing w:val="4"/>
          <w:sz w:val="20"/>
        </w:rPr>
        <w:t>sia</w:t>
      </w:r>
      <w:r w:rsidRPr="00B60D45">
        <w:rPr>
          <w:bCs w:val="0"/>
          <w:i w:val="0"/>
          <w:iCs/>
          <w:spacing w:val="4"/>
          <w:sz w:val="20"/>
        </w:rPr>
        <w:t xml:space="preserve"> le importazioni di beni e servizi dell’Italia hanno evidenziato un forte ridimensionamento. L’introduzione d</w:t>
      </w:r>
      <w:r w:rsidR="008124FB" w:rsidRPr="00B60D45">
        <w:rPr>
          <w:bCs w:val="0"/>
          <w:i w:val="0"/>
          <w:iCs/>
          <w:spacing w:val="4"/>
          <w:sz w:val="20"/>
        </w:rPr>
        <w:t>elle</w:t>
      </w:r>
      <w:r w:rsidRPr="00B60D45">
        <w:rPr>
          <w:bCs w:val="0"/>
          <w:i w:val="0"/>
          <w:iCs/>
          <w:spacing w:val="4"/>
          <w:sz w:val="20"/>
        </w:rPr>
        <w:t xml:space="preserve"> misure di </w:t>
      </w:r>
      <w:r w:rsidRPr="00B60D45">
        <w:rPr>
          <w:bCs w:val="0"/>
          <w:iCs/>
          <w:spacing w:val="4"/>
          <w:sz w:val="20"/>
        </w:rPr>
        <w:t>lockdown</w:t>
      </w:r>
      <w:r w:rsidRPr="00B60D45">
        <w:rPr>
          <w:bCs w:val="0"/>
          <w:i w:val="0"/>
          <w:iCs/>
          <w:spacing w:val="4"/>
          <w:sz w:val="20"/>
        </w:rPr>
        <w:t xml:space="preserve"> per contrastare la diffusione </w:t>
      </w:r>
      <w:r w:rsidR="008124FB" w:rsidRPr="00B60D45">
        <w:rPr>
          <w:bCs w:val="0"/>
          <w:i w:val="0"/>
          <w:iCs/>
          <w:spacing w:val="4"/>
          <w:sz w:val="20"/>
        </w:rPr>
        <w:t xml:space="preserve">del </w:t>
      </w:r>
      <w:r w:rsidRPr="00B60D45">
        <w:rPr>
          <w:bCs w:val="0"/>
          <w:i w:val="0"/>
          <w:iCs/>
          <w:spacing w:val="4"/>
          <w:sz w:val="20"/>
        </w:rPr>
        <w:t>C</w:t>
      </w:r>
      <w:r w:rsidR="00422CAC" w:rsidRPr="00B60D45">
        <w:rPr>
          <w:bCs w:val="0"/>
          <w:i w:val="0"/>
          <w:iCs/>
          <w:spacing w:val="4"/>
          <w:sz w:val="20"/>
        </w:rPr>
        <w:t>OVID</w:t>
      </w:r>
      <w:r w:rsidRPr="00B60D45">
        <w:rPr>
          <w:bCs w:val="0"/>
          <w:i w:val="0"/>
          <w:iCs/>
          <w:spacing w:val="4"/>
          <w:sz w:val="20"/>
        </w:rPr>
        <w:t xml:space="preserve">-19 </w:t>
      </w:r>
      <w:r w:rsidR="00422CAC" w:rsidRPr="00B60D45">
        <w:rPr>
          <w:bCs w:val="0"/>
          <w:i w:val="0"/>
          <w:iCs/>
          <w:spacing w:val="4"/>
          <w:sz w:val="20"/>
        </w:rPr>
        <w:t>sia nel nostro P</w:t>
      </w:r>
      <w:r w:rsidRPr="00B60D45">
        <w:rPr>
          <w:bCs w:val="0"/>
          <w:i w:val="0"/>
          <w:iCs/>
          <w:spacing w:val="4"/>
          <w:sz w:val="20"/>
        </w:rPr>
        <w:t xml:space="preserve">aese </w:t>
      </w:r>
      <w:r w:rsidR="008124FB" w:rsidRPr="00B60D45">
        <w:rPr>
          <w:bCs w:val="0"/>
          <w:i w:val="0"/>
          <w:iCs/>
          <w:spacing w:val="4"/>
          <w:sz w:val="20"/>
        </w:rPr>
        <w:t>sia</w:t>
      </w:r>
      <w:r w:rsidR="008C1EE1" w:rsidRPr="00B60D45">
        <w:rPr>
          <w:bCs w:val="0"/>
          <w:i w:val="0"/>
          <w:iCs/>
          <w:spacing w:val="4"/>
          <w:sz w:val="20"/>
        </w:rPr>
        <w:t xml:space="preserve"> </w:t>
      </w:r>
      <w:r w:rsidR="003D256D" w:rsidRPr="00B60D45">
        <w:rPr>
          <w:bCs w:val="0"/>
          <w:i w:val="0"/>
          <w:iCs/>
          <w:spacing w:val="4"/>
          <w:sz w:val="20"/>
        </w:rPr>
        <w:t xml:space="preserve">nei </w:t>
      </w:r>
      <w:r w:rsidRPr="00B60D45">
        <w:rPr>
          <w:bCs w:val="0"/>
          <w:i w:val="0"/>
          <w:iCs/>
          <w:spacing w:val="4"/>
          <w:sz w:val="20"/>
        </w:rPr>
        <w:t xml:space="preserve">principali partner commerciali nonché il crollo dei flussi </w:t>
      </w:r>
      <w:r w:rsidRPr="00B60D45">
        <w:rPr>
          <w:bCs w:val="0"/>
          <w:i w:val="0"/>
          <w:iCs/>
          <w:spacing w:val="4"/>
          <w:sz w:val="20"/>
        </w:rPr>
        <w:lastRenderedPageBreak/>
        <w:t xml:space="preserve">turistici </w:t>
      </w:r>
      <w:r w:rsidR="00906795" w:rsidRPr="00B60D45">
        <w:rPr>
          <w:bCs w:val="0"/>
          <w:i w:val="0"/>
          <w:iCs/>
          <w:spacing w:val="4"/>
          <w:sz w:val="20"/>
        </w:rPr>
        <w:t xml:space="preserve">a livello mondiale </w:t>
      </w:r>
      <w:r w:rsidRPr="00B60D45">
        <w:rPr>
          <w:bCs w:val="0"/>
          <w:i w:val="0"/>
          <w:iCs/>
          <w:spacing w:val="4"/>
          <w:sz w:val="20"/>
        </w:rPr>
        <w:t xml:space="preserve">hanno inciso fortemente sull’andamento </w:t>
      </w:r>
      <w:r w:rsidR="00906795" w:rsidRPr="00B60D45">
        <w:rPr>
          <w:bCs w:val="0"/>
          <w:i w:val="0"/>
          <w:iCs/>
          <w:spacing w:val="4"/>
          <w:sz w:val="20"/>
        </w:rPr>
        <w:t xml:space="preserve">degli scambi dell’Italia. La </w:t>
      </w:r>
      <w:r w:rsidRPr="00B60D45">
        <w:rPr>
          <w:bCs w:val="0"/>
          <w:i w:val="0"/>
          <w:iCs/>
          <w:spacing w:val="4"/>
          <w:sz w:val="20"/>
        </w:rPr>
        <w:t>domanda estera nel primo trimestre dell’anno ha fornito un contributo negativo alla crescita del P</w:t>
      </w:r>
      <w:r w:rsidR="0035114C" w:rsidRPr="00B60D45">
        <w:rPr>
          <w:bCs w:val="0"/>
          <w:i w:val="0"/>
          <w:iCs/>
          <w:spacing w:val="4"/>
          <w:sz w:val="20"/>
        </w:rPr>
        <w:t>il</w:t>
      </w:r>
      <w:r w:rsidRPr="00B60D45">
        <w:rPr>
          <w:bCs w:val="0"/>
          <w:i w:val="0"/>
          <w:iCs/>
          <w:spacing w:val="4"/>
          <w:sz w:val="20"/>
        </w:rPr>
        <w:t xml:space="preserve"> pari a 0,8 punti percentuali. Le esportazioni di beni e servizi in volume nello stesso periodo sono diminuite in termini </w:t>
      </w:r>
      <w:r w:rsidR="0035114C" w:rsidRPr="00B60D45">
        <w:rPr>
          <w:bCs w:val="0"/>
          <w:i w:val="0"/>
          <w:iCs/>
          <w:spacing w:val="4"/>
          <w:sz w:val="20"/>
        </w:rPr>
        <w:t>congiunturali</w:t>
      </w:r>
      <w:r w:rsidRPr="00B60D45">
        <w:rPr>
          <w:bCs w:val="0"/>
          <w:i w:val="0"/>
          <w:iCs/>
          <w:spacing w:val="4"/>
          <w:sz w:val="20"/>
        </w:rPr>
        <w:t xml:space="preserve"> del</w:t>
      </w:r>
      <w:r w:rsidR="0035114C" w:rsidRPr="00B60D45">
        <w:rPr>
          <w:bCs w:val="0"/>
          <w:i w:val="0"/>
          <w:iCs/>
          <w:spacing w:val="4"/>
          <w:sz w:val="20"/>
        </w:rPr>
        <w:t>l’8</w:t>
      </w:r>
      <w:r w:rsidRPr="00B60D45">
        <w:rPr>
          <w:bCs w:val="0"/>
          <w:i w:val="0"/>
          <w:iCs/>
          <w:spacing w:val="4"/>
          <w:sz w:val="20"/>
        </w:rPr>
        <w:t>,</w:t>
      </w:r>
      <w:r w:rsidR="0035114C" w:rsidRPr="00B60D45">
        <w:rPr>
          <w:bCs w:val="0"/>
          <w:i w:val="0"/>
          <w:iCs/>
          <w:spacing w:val="4"/>
          <w:sz w:val="20"/>
        </w:rPr>
        <w:t>0</w:t>
      </w:r>
      <w:r w:rsidRPr="00B60D45">
        <w:rPr>
          <w:bCs w:val="0"/>
          <w:i w:val="0"/>
          <w:iCs/>
          <w:spacing w:val="4"/>
          <w:sz w:val="20"/>
        </w:rPr>
        <w:t>% mentre le impo</w:t>
      </w:r>
      <w:r w:rsidR="0035114C" w:rsidRPr="00B60D45">
        <w:rPr>
          <w:bCs w:val="0"/>
          <w:i w:val="0"/>
          <w:iCs/>
          <w:spacing w:val="4"/>
          <w:sz w:val="20"/>
        </w:rPr>
        <w:t>rtazioni si sono ridotte del 6,2</w:t>
      </w:r>
      <w:r w:rsidRPr="00B60D45">
        <w:rPr>
          <w:bCs w:val="0"/>
          <w:i w:val="0"/>
          <w:iCs/>
          <w:spacing w:val="4"/>
          <w:sz w:val="20"/>
        </w:rPr>
        <w:t>%.</w:t>
      </w:r>
      <w:r w:rsidR="0035114C" w:rsidRPr="00B60D45">
        <w:rPr>
          <w:bCs w:val="0"/>
          <w:i w:val="0"/>
          <w:iCs/>
          <w:spacing w:val="4"/>
          <w:sz w:val="20"/>
        </w:rPr>
        <w:t xml:space="preserve"> </w:t>
      </w:r>
    </w:p>
    <w:p w14:paraId="016DA0C4" w14:textId="238A8680" w:rsidR="00790A29" w:rsidRDefault="00422CAC" w:rsidP="005F2269">
      <w:pPr>
        <w:pStyle w:val="013titolosottoparagrafo"/>
        <w:spacing w:before="0"/>
        <w:jc w:val="both"/>
        <w:rPr>
          <w:bCs w:val="0"/>
          <w:i w:val="0"/>
          <w:iCs/>
          <w:sz w:val="20"/>
        </w:rPr>
      </w:pPr>
      <w:r>
        <w:rPr>
          <w:bCs w:val="0"/>
          <w:i w:val="0"/>
          <w:iCs/>
          <w:sz w:val="20"/>
        </w:rPr>
        <w:t>Per l’anno corrente gli effetti dell</w:t>
      </w:r>
      <w:r w:rsidR="00113C58">
        <w:rPr>
          <w:bCs w:val="0"/>
          <w:i w:val="0"/>
          <w:iCs/>
          <w:sz w:val="20"/>
        </w:rPr>
        <w:t>’</w:t>
      </w:r>
      <w:r w:rsidR="0035114C">
        <w:rPr>
          <w:bCs w:val="0"/>
          <w:i w:val="0"/>
          <w:iCs/>
          <w:sz w:val="20"/>
        </w:rPr>
        <w:t xml:space="preserve">interruzione </w:t>
      </w:r>
      <w:r>
        <w:rPr>
          <w:bCs w:val="0"/>
          <w:i w:val="0"/>
          <w:iCs/>
          <w:sz w:val="20"/>
        </w:rPr>
        <w:t xml:space="preserve">diffusa </w:t>
      </w:r>
      <w:r w:rsidR="0035114C">
        <w:rPr>
          <w:bCs w:val="0"/>
          <w:i w:val="0"/>
          <w:iCs/>
          <w:sz w:val="20"/>
        </w:rPr>
        <w:t xml:space="preserve">delle attività produttive </w:t>
      </w:r>
      <w:r>
        <w:rPr>
          <w:bCs w:val="0"/>
          <w:i w:val="0"/>
          <w:iCs/>
          <w:sz w:val="20"/>
        </w:rPr>
        <w:t>tra i paesi</w:t>
      </w:r>
      <w:r w:rsidR="0035114C">
        <w:rPr>
          <w:bCs w:val="0"/>
          <w:i w:val="0"/>
          <w:iCs/>
          <w:sz w:val="20"/>
        </w:rPr>
        <w:t xml:space="preserve"> si </w:t>
      </w:r>
      <w:r>
        <w:rPr>
          <w:bCs w:val="0"/>
          <w:i w:val="0"/>
          <w:iCs/>
          <w:sz w:val="20"/>
        </w:rPr>
        <w:t xml:space="preserve">sono </w:t>
      </w:r>
      <w:r w:rsidR="0035114C">
        <w:rPr>
          <w:bCs w:val="0"/>
          <w:i w:val="0"/>
          <w:iCs/>
          <w:sz w:val="20"/>
        </w:rPr>
        <w:t>manifestat</w:t>
      </w:r>
      <w:r>
        <w:rPr>
          <w:bCs w:val="0"/>
          <w:i w:val="0"/>
          <w:iCs/>
          <w:sz w:val="20"/>
        </w:rPr>
        <w:t>i</w:t>
      </w:r>
      <w:r w:rsidR="0035114C">
        <w:rPr>
          <w:bCs w:val="0"/>
          <w:i w:val="0"/>
          <w:iCs/>
          <w:sz w:val="20"/>
        </w:rPr>
        <w:t xml:space="preserve"> anche ad aprile </w:t>
      </w:r>
      <w:r>
        <w:rPr>
          <w:bCs w:val="0"/>
          <w:i w:val="0"/>
          <w:iCs/>
          <w:sz w:val="20"/>
        </w:rPr>
        <w:t>con il crollo</w:t>
      </w:r>
      <w:r w:rsidR="0035114C">
        <w:rPr>
          <w:bCs w:val="0"/>
          <w:i w:val="0"/>
          <w:iCs/>
          <w:sz w:val="20"/>
        </w:rPr>
        <w:t xml:space="preserve"> </w:t>
      </w:r>
      <w:r>
        <w:rPr>
          <w:bCs w:val="0"/>
          <w:i w:val="0"/>
          <w:iCs/>
          <w:sz w:val="20"/>
        </w:rPr>
        <w:t>del</w:t>
      </w:r>
      <w:r w:rsidR="0035114C">
        <w:rPr>
          <w:bCs w:val="0"/>
          <w:i w:val="0"/>
          <w:iCs/>
          <w:sz w:val="20"/>
        </w:rPr>
        <w:t xml:space="preserve">le esportazioni </w:t>
      </w:r>
      <w:r w:rsidR="008C1EE1">
        <w:rPr>
          <w:bCs w:val="0"/>
          <w:i w:val="0"/>
          <w:iCs/>
          <w:sz w:val="20"/>
        </w:rPr>
        <w:t xml:space="preserve">verso i paesi extra-Ue </w:t>
      </w:r>
      <w:r w:rsidR="0035114C">
        <w:rPr>
          <w:bCs w:val="0"/>
          <w:i w:val="0"/>
          <w:iCs/>
          <w:sz w:val="20"/>
        </w:rPr>
        <w:t>(-37,6</w:t>
      </w:r>
      <w:r>
        <w:rPr>
          <w:bCs w:val="0"/>
          <w:i w:val="0"/>
          <w:iCs/>
          <w:sz w:val="20"/>
        </w:rPr>
        <w:t>%</w:t>
      </w:r>
      <w:r w:rsidR="0035114C">
        <w:rPr>
          <w:bCs w:val="0"/>
          <w:i w:val="0"/>
          <w:iCs/>
          <w:sz w:val="20"/>
        </w:rPr>
        <w:t xml:space="preserve"> rispetto al mese precedente) mentre le importazioni hanno segnato una riduzione più contenuta (-12,7% e -6,5% se considerate al netto dei beni energetici).</w:t>
      </w:r>
      <w:r w:rsidR="008C1EE1">
        <w:rPr>
          <w:bCs w:val="0"/>
          <w:i w:val="0"/>
          <w:iCs/>
          <w:sz w:val="20"/>
        </w:rPr>
        <w:t xml:space="preserve"> </w:t>
      </w:r>
    </w:p>
    <w:p w14:paraId="65BD4170" w14:textId="31F704ED" w:rsidR="00790A29" w:rsidRDefault="008C1EE1" w:rsidP="005F2269">
      <w:pPr>
        <w:pStyle w:val="013titolosottoparagrafo"/>
        <w:spacing w:before="0"/>
        <w:jc w:val="both"/>
        <w:rPr>
          <w:bCs w:val="0"/>
          <w:i w:val="0"/>
          <w:iCs/>
          <w:sz w:val="20"/>
        </w:rPr>
      </w:pPr>
      <w:r>
        <w:rPr>
          <w:bCs w:val="0"/>
          <w:i w:val="0"/>
          <w:iCs/>
          <w:sz w:val="20"/>
        </w:rPr>
        <w:t>Il drastico ridimensionamento del commercio mondiale influenzerà il commercio estero italiano durante tutto l’anno. L</w:t>
      </w:r>
      <w:r w:rsidR="00790A29" w:rsidRPr="00790A29">
        <w:rPr>
          <w:bCs w:val="0"/>
          <w:i w:val="0"/>
          <w:iCs/>
          <w:sz w:val="20"/>
        </w:rPr>
        <w:t>e esportazioni sono previste diminuire del 1</w:t>
      </w:r>
      <w:r w:rsidR="0035114C">
        <w:rPr>
          <w:bCs w:val="0"/>
          <w:i w:val="0"/>
          <w:iCs/>
          <w:sz w:val="20"/>
        </w:rPr>
        <w:t>3</w:t>
      </w:r>
      <w:r w:rsidR="00790A29" w:rsidRPr="00790A29">
        <w:rPr>
          <w:bCs w:val="0"/>
          <w:i w:val="0"/>
          <w:iCs/>
          <w:sz w:val="20"/>
        </w:rPr>
        <w:t>,</w:t>
      </w:r>
      <w:r w:rsidR="0035114C">
        <w:rPr>
          <w:bCs w:val="0"/>
          <w:i w:val="0"/>
          <w:iCs/>
          <w:sz w:val="20"/>
        </w:rPr>
        <w:t>9</w:t>
      </w:r>
      <w:r w:rsidR="00790A29" w:rsidRPr="00790A29">
        <w:rPr>
          <w:bCs w:val="0"/>
          <w:i w:val="0"/>
          <w:iCs/>
          <w:sz w:val="20"/>
        </w:rPr>
        <w:t xml:space="preserve">% nel 2020 </w:t>
      </w:r>
      <w:r w:rsidR="008124FB">
        <w:rPr>
          <w:bCs w:val="0"/>
          <w:i w:val="0"/>
          <w:iCs/>
          <w:sz w:val="20"/>
        </w:rPr>
        <w:t>e</w:t>
      </w:r>
      <w:r w:rsidR="00906F9C">
        <w:rPr>
          <w:bCs w:val="0"/>
          <w:i w:val="0"/>
          <w:iCs/>
          <w:sz w:val="20"/>
        </w:rPr>
        <w:t xml:space="preserve"> </w:t>
      </w:r>
      <w:r w:rsidR="00790A29" w:rsidRPr="00790A29">
        <w:rPr>
          <w:bCs w:val="0"/>
          <w:i w:val="0"/>
          <w:iCs/>
          <w:sz w:val="20"/>
        </w:rPr>
        <w:t xml:space="preserve">poi aumentare del </w:t>
      </w:r>
      <w:r w:rsidR="0035114C">
        <w:rPr>
          <w:bCs w:val="0"/>
          <w:i w:val="0"/>
          <w:iCs/>
          <w:sz w:val="20"/>
        </w:rPr>
        <w:t>7</w:t>
      </w:r>
      <w:r w:rsidR="00790A29" w:rsidRPr="00790A29">
        <w:rPr>
          <w:bCs w:val="0"/>
          <w:i w:val="0"/>
          <w:iCs/>
          <w:sz w:val="20"/>
        </w:rPr>
        <w:t>,</w:t>
      </w:r>
      <w:r w:rsidR="00422CAC">
        <w:rPr>
          <w:bCs w:val="0"/>
          <w:i w:val="0"/>
          <w:iCs/>
          <w:sz w:val="20"/>
        </w:rPr>
        <w:t>9</w:t>
      </w:r>
      <w:r w:rsidR="00790A29" w:rsidRPr="00790A29">
        <w:rPr>
          <w:bCs w:val="0"/>
          <w:i w:val="0"/>
          <w:iCs/>
          <w:sz w:val="20"/>
        </w:rPr>
        <w:t>% nel 2021. Il rallentamento dell’attività economica e il calo degli acquisti osservato nella prima parte dell’anno dovrebbe</w:t>
      </w:r>
      <w:r w:rsidR="008124FB">
        <w:rPr>
          <w:bCs w:val="0"/>
          <w:i w:val="0"/>
          <w:iCs/>
          <w:sz w:val="20"/>
        </w:rPr>
        <w:t>ro</w:t>
      </w:r>
      <w:r w:rsidR="00790A29" w:rsidRPr="00790A29">
        <w:rPr>
          <w:bCs w:val="0"/>
          <w:i w:val="0"/>
          <w:iCs/>
          <w:sz w:val="20"/>
        </w:rPr>
        <w:t xml:space="preserve"> determinare, inoltre, un</w:t>
      </w:r>
      <w:r w:rsidR="008124FB">
        <w:rPr>
          <w:bCs w:val="0"/>
          <w:i w:val="0"/>
          <w:iCs/>
          <w:sz w:val="20"/>
        </w:rPr>
        <w:t>a flessione</w:t>
      </w:r>
      <w:r w:rsidR="00790A29" w:rsidRPr="00790A29">
        <w:rPr>
          <w:bCs w:val="0"/>
          <w:i w:val="0"/>
          <w:iCs/>
          <w:sz w:val="20"/>
        </w:rPr>
        <w:t xml:space="preserve"> delle importazioni pari al 14,</w:t>
      </w:r>
      <w:r w:rsidR="0035114C">
        <w:rPr>
          <w:bCs w:val="0"/>
          <w:i w:val="0"/>
          <w:iCs/>
          <w:sz w:val="20"/>
        </w:rPr>
        <w:t>4</w:t>
      </w:r>
      <w:r w:rsidR="00790A29" w:rsidRPr="00790A29">
        <w:rPr>
          <w:bCs w:val="0"/>
          <w:i w:val="0"/>
          <w:iCs/>
          <w:sz w:val="20"/>
        </w:rPr>
        <w:t>% nel 2020 e un aumento del 7,</w:t>
      </w:r>
      <w:r w:rsidR="0035114C">
        <w:rPr>
          <w:bCs w:val="0"/>
          <w:i w:val="0"/>
          <w:iCs/>
          <w:sz w:val="20"/>
        </w:rPr>
        <w:t>8</w:t>
      </w:r>
      <w:r w:rsidR="00790A29" w:rsidRPr="00790A29">
        <w:rPr>
          <w:bCs w:val="0"/>
          <w:i w:val="0"/>
          <w:iCs/>
          <w:sz w:val="20"/>
        </w:rPr>
        <w:t>% nel 2021.</w:t>
      </w:r>
    </w:p>
    <w:p w14:paraId="28845569" w14:textId="1FB758BB" w:rsidR="002225BE" w:rsidRPr="008E64A5" w:rsidRDefault="00091F7E" w:rsidP="00790A29">
      <w:pPr>
        <w:pStyle w:val="013titolosottoparagrafo"/>
      </w:pPr>
      <w:r w:rsidRPr="008E64A5">
        <w:t>M</w:t>
      </w:r>
      <w:r w:rsidR="002225BE" w:rsidRPr="008E64A5">
        <w:t>ercato del lavoro</w:t>
      </w:r>
      <w:r w:rsidRPr="008E64A5">
        <w:t xml:space="preserve"> </w:t>
      </w:r>
      <w:r w:rsidR="0054443B">
        <w:t xml:space="preserve">in </w:t>
      </w:r>
      <w:r w:rsidR="0010659A">
        <w:t>difficoltà</w:t>
      </w:r>
    </w:p>
    <w:p w14:paraId="77CD556A" w14:textId="091B73B3" w:rsidR="0054443B" w:rsidRDefault="009F61EC" w:rsidP="009F61EC">
      <w:pPr>
        <w:pStyle w:val="01testo"/>
      </w:pPr>
      <w:r>
        <w:t>La lettura della crisi attraverso i dati del mercato del lavoro assume forme e intensità diver</w:t>
      </w:r>
      <w:r w:rsidR="0010659A">
        <w:t>se</w:t>
      </w:r>
      <w:r>
        <w:t xml:space="preserve"> </w:t>
      </w:r>
      <w:r w:rsidR="0010659A">
        <w:t xml:space="preserve">rispetto </w:t>
      </w:r>
      <w:r w:rsidR="00E752EA">
        <w:t>al consueto andamento degli indicatori</w:t>
      </w:r>
      <w:r>
        <w:t xml:space="preserve">. </w:t>
      </w:r>
    </w:p>
    <w:p w14:paraId="1B52AD29" w14:textId="5BB28CF5" w:rsidR="009F61EC" w:rsidRPr="005F2269" w:rsidRDefault="001F0F07" w:rsidP="009F61EC">
      <w:pPr>
        <w:pStyle w:val="01testo"/>
        <w:rPr>
          <w:spacing w:val="4"/>
        </w:rPr>
      </w:pPr>
      <w:r w:rsidRPr="005F2269">
        <w:rPr>
          <w:spacing w:val="4"/>
        </w:rPr>
        <w:t>Dopo la sostanziale riduzione di ore lavorate e di unità di lavoro avvenuta nel primo trimestre, i</w:t>
      </w:r>
      <w:r w:rsidR="009F61EC" w:rsidRPr="005F2269">
        <w:rPr>
          <w:spacing w:val="4"/>
        </w:rPr>
        <w:t xml:space="preserve"> dati di aprile </w:t>
      </w:r>
      <w:r w:rsidR="0004657E" w:rsidRPr="005F2269">
        <w:rPr>
          <w:spacing w:val="4"/>
        </w:rPr>
        <w:t xml:space="preserve">provenienti dall’indagine sulle forze di lavoro </w:t>
      </w:r>
      <w:r w:rsidR="009F61EC" w:rsidRPr="005F2269">
        <w:rPr>
          <w:spacing w:val="4"/>
        </w:rPr>
        <w:t>segnano un significativ</w:t>
      </w:r>
      <w:r w:rsidR="008124FB" w:rsidRPr="005F2269">
        <w:rPr>
          <w:spacing w:val="4"/>
        </w:rPr>
        <w:t>o calo</w:t>
      </w:r>
      <w:r w:rsidR="009F61EC" w:rsidRPr="005F2269">
        <w:rPr>
          <w:spacing w:val="4"/>
        </w:rPr>
        <w:t xml:space="preserve"> dell’occupazione (-1,2% rispetto al mese precedente, pari a -274mila unità) che riduce il tasso di occupazione di 0,7 punti percentuali. Sebbene l</w:t>
      </w:r>
      <w:r w:rsidR="008124FB" w:rsidRPr="005F2269">
        <w:rPr>
          <w:spacing w:val="4"/>
        </w:rPr>
        <w:t>a flessione</w:t>
      </w:r>
      <w:r w:rsidR="0004657E" w:rsidRPr="005F2269">
        <w:rPr>
          <w:spacing w:val="4"/>
        </w:rPr>
        <w:t xml:space="preserve"> </w:t>
      </w:r>
      <w:r w:rsidR="009F61EC" w:rsidRPr="005F2269">
        <w:rPr>
          <w:spacing w:val="4"/>
        </w:rPr>
        <w:t xml:space="preserve">sia diffusa per genere e posizione professionale, </w:t>
      </w:r>
      <w:r w:rsidR="00430855" w:rsidRPr="005F2269">
        <w:rPr>
          <w:spacing w:val="4"/>
        </w:rPr>
        <w:t>cali significativi</w:t>
      </w:r>
      <w:r w:rsidR="009F61EC" w:rsidRPr="005F2269">
        <w:rPr>
          <w:spacing w:val="4"/>
        </w:rPr>
        <w:t xml:space="preserve"> </w:t>
      </w:r>
      <w:r w:rsidR="00430855" w:rsidRPr="005F2269">
        <w:rPr>
          <w:spacing w:val="4"/>
        </w:rPr>
        <w:t xml:space="preserve">riguardano </w:t>
      </w:r>
      <w:r w:rsidR="009F61EC" w:rsidRPr="005F2269">
        <w:rPr>
          <w:spacing w:val="4"/>
        </w:rPr>
        <w:t>i lavoratori dipendenti a termine (-5,6%, 129mila unità) e i lavoratori indipendenti (-1,3%, 69mila unità)</w:t>
      </w:r>
      <w:r w:rsidR="008124FB" w:rsidRPr="005F2269">
        <w:rPr>
          <w:spacing w:val="4"/>
        </w:rPr>
        <w:t>,</w:t>
      </w:r>
      <w:r w:rsidR="009F61EC" w:rsidRPr="005F2269">
        <w:rPr>
          <w:spacing w:val="4"/>
        </w:rPr>
        <w:t xml:space="preserve"> rafforzando le tendenze in corso negli ultimi mesi.</w:t>
      </w:r>
    </w:p>
    <w:p w14:paraId="4DC9B5DE" w14:textId="30BD23ED" w:rsidR="009F61EC" w:rsidRPr="005F2269" w:rsidRDefault="009F61EC" w:rsidP="009F61EC">
      <w:pPr>
        <w:pStyle w:val="01testo"/>
        <w:rPr>
          <w:spacing w:val="2"/>
        </w:rPr>
      </w:pPr>
      <w:r w:rsidRPr="005F2269">
        <w:rPr>
          <w:spacing w:val="2"/>
        </w:rPr>
        <w:t>Rispetto ai non occupati, si amplifica la ricomposizione a favore dell’inattività (ad aprile in tasso di inattività</w:t>
      </w:r>
      <w:r w:rsidR="00A47A6E" w:rsidRPr="005F2269">
        <w:rPr>
          <w:spacing w:val="2"/>
        </w:rPr>
        <w:t xml:space="preserve"> è</w:t>
      </w:r>
      <w:r w:rsidRPr="005F2269">
        <w:rPr>
          <w:spacing w:val="2"/>
        </w:rPr>
        <w:t xml:space="preserve"> aumenta</w:t>
      </w:r>
      <w:r w:rsidR="00A47A6E" w:rsidRPr="005F2269">
        <w:rPr>
          <w:spacing w:val="2"/>
        </w:rPr>
        <w:t>to</w:t>
      </w:r>
      <w:r w:rsidRPr="005F2269">
        <w:rPr>
          <w:spacing w:val="2"/>
        </w:rPr>
        <w:t xml:space="preserve"> di 2 punti percentuali) mentre diminuisce la disoccupazione (-1,7 punti percentuali). </w:t>
      </w:r>
      <w:r w:rsidR="00A47A6E" w:rsidRPr="005F2269">
        <w:rPr>
          <w:spacing w:val="2"/>
        </w:rPr>
        <w:t>Nel confronto con la</w:t>
      </w:r>
      <w:r w:rsidRPr="005F2269">
        <w:rPr>
          <w:spacing w:val="2"/>
        </w:rPr>
        <w:t xml:space="preserve"> media del 2019, nei primi 4 mesi dell’anno circa 500 mila persone hanno smesso di cercare lavoro transitando tra gli inattivi. Questo segnale presenta specificità di genere e fascia di età. Il tasso di inattività femminile </w:t>
      </w:r>
      <w:r w:rsidR="00A47A6E" w:rsidRPr="005F2269">
        <w:rPr>
          <w:spacing w:val="2"/>
        </w:rPr>
        <w:t>è cresciuto</w:t>
      </w:r>
      <w:r w:rsidRPr="005F2269">
        <w:rPr>
          <w:spacing w:val="2"/>
        </w:rPr>
        <w:t xml:space="preserve"> di 2,3 punti percentuali mentre la disoccupazione </w:t>
      </w:r>
      <w:r w:rsidR="00A47A6E" w:rsidRPr="005F2269">
        <w:rPr>
          <w:spacing w:val="2"/>
        </w:rPr>
        <w:t>è diminuita</w:t>
      </w:r>
      <w:r w:rsidRPr="005F2269">
        <w:rPr>
          <w:spacing w:val="2"/>
        </w:rPr>
        <w:t xml:space="preserve"> di 2,6 punti percentuali. </w:t>
      </w:r>
      <w:r w:rsidR="00A47A6E" w:rsidRPr="005F2269">
        <w:rPr>
          <w:spacing w:val="2"/>
        </w:rPr>
        <w:t>L’</w:t>
      </w:r>
      <w:r w:rsidRPr="005F2269">
        <w:rPr>
          <w:spacing w:val="2"/>
        </w:rPr>
        <w:t xml:space="preserve">aumento di inattività è </w:t>
      </w:r>
      <w:r w:rsidR="00A47A6E" w:rsidRPr="005F2269">
        <w:rPr>
          <w:spacing w:val="2"/>
        </w:rPr>
        <w:t xml:space="preserve">stato </w:t>
      </w:r>
      <w:r w:rsidRPr="005F2269">
        <w:rPr>
          <w:spacing w:val="2"/>
        </w:rPr>
        <w:t xml:space="preserve">più accentuato tra la fascia </w:t>
      </w:r>
      <w:r w:rsidR="00A21B49" w:rsidRPr="005F2269">
        <w:rPr>
          <w:spacing w:val="2"/>
        </w:rPr>
        <w:t xml:space="preserve">di età </w:t>
      </w:r>
      <w:r w:rsidRPr="005F2269">
        <w:rPr>
          <w:spacing w:val="2"/>
        </w:rPr>
        <w:t xml:space="preserve">35-49 (+10,4%, 278mila unità) e 25-34 </w:t>
      </w:r>
      <w:r w:rsidR="00430855" w:rsidRPr="005F2269">
        <w:rPr>
          <w:spacing w:val="2"/>
        </w:rPr>
        <w:t xml:space="preserve">anni </w:t>
      </w:r>
      <w:r w:rsidRPr="005F2269">
        <w:rPr>
          <w:spacing w:val="2"/>
        </w:rPr>
        <w:t>(+8,8%, 172mila unità). La contemporanea riduzione della disoccupazione oltre che in queste classi di età (rispettivamente -26,9%</w:t>
      </w:r>
      <w:r w:rsidR="00F56BFC" w:rsidRPr="005F2269">
        <w:rPr>
          <w:spacing w:val="2"/>
        </w:rPr>
        <w:t>,</w:t>
      </w:r>
      <w:r w:rsidRPr="005F2269">
        <w:rPr>
          <w:spacing w:val="2"/>
        </w:rPr>
        <w:t xml:space="preserve"> 182mila unità</w:t>
      </w:r>
      <w:r w:rsidR="00F56BFC" w:rsidRPr="005F2269">
        <w:rPr>
          <w:spacing w:val="2"/>
        </w:rPr>
        <w:t>,</w:t>
      </w:r>
      <w:r w:rsidRPr="005F2269">
        <w:rPr>
          <w:spacing w:val="2"/>
        </w:rPr>
        <w:t xml:space="preserve"> e -17,0%, 90mila unità) si </w:t>
      </w:r>
      <w:r w:rsidR="00A21B49" w:rsidRPr="005F2269">
        <w:rPr>
          <w:spacing w:val="2"/>
        </w:rPr>
        <w:t xml:space="preserve">è </w:t>
      </w:r>
      <w:r w:rsidRPr="005F2269">
        <w:rPr>
          <w:spacing w:val="2"/>
        </w:rPr>
        <w:t>manifesta</w:t>
      </w:r>
      <w:r w:rsidR="00A21B49" w:rsidRPr="005F2269">
        <w:rPr>
          <w:spacing w:val="2"/>
        </w:rPr>
        <w:t>ta</w:t>
      </w:r>
      <w:r w:rsidRPr="005F2269">
        <w:rPr>
          <w:spacing w:val="2"/>
        </w:rPr>
        <w:t xml:space="preserve"> anche tra i più giovani, 15-24 anni (-31,8%, 119mila unità).</w:t>
      </w:r>
    </w:p>
    <w:p w14:paraId="4E52D36C" w14:textId="1A2BCBBD" w:rsidR="009F61EC" w:rsidRPr="005F2269" w:rsidRDefault="009F61EC" w:rsidP="00B60D45">
      <w:pPr>
        <w:pStyle w:val="01testo"/>
        <w:rPr>
          <w:spacing w:val="4"/>
        </w:rPr>
      </w:pPr>
      <w:r w:rsidRPr="005F2269">
        <w:rPr>
          <w:spacing w:val="4"/>
        </w:rPr>
        <w:t xml:space="preserve">La ricomposizione tra forze </w:t>
      </w:r>
      <w:r w:rsidR="00430855" w:rsidRPr="005F2269">
        <w:rPr>
          <w:spacing w:val="4"/>
        </w:rPr>
        <w:t xml:space="preserve">di </w:t>
      </w:r>
      <w:r w:rsidRPr="005F2269">
        <w:rPr>
          <w:spacing w:val="4"/>
        </w:rPr>
        <w:t xml:space="preserve">lavoro e inattività </w:t>
      </w:r>
      <w:r w:rsidR="00A21B49" w:rsidRPr="005F2269">
        <w:rPr>
          <w:spacing w:val="4"/>
        </w:rPr>
        <w:t>è avvenuta</w:t>
      </w:r>
      <w:r w:rsidR="0028174D" w:rsidRPr="005F2269">
        <w:rPr>
          <w:spacing w:val="4"/>
        </w:rPr>
        <w:t xml:space="preserve"> </w:t>
      </w:r>
      <w:r w:rsidRPr="005F2269">
        <w:rPr>
          <w:spacing w:val="4"/>
        </w:rPr>
        <w:t>in presenza di una decisa riduzione del numero di ore lavorate</w:t>
      </w:r>
      <w:r w:rsidR="00745C99" w:rsidRPr="005F2269">
        <w:rPr>
          <w:spacing w:val="4"/>
        </w:rPr>
        <w:t xml:space="preserve"> indotta dai provvedimenti a sostegno del mercato del lavoro</w:t>
      </w:r>
      <w:r w:rsidR="00745C99" w:rsidRPr="005F2269">
        <w:rPr>
          <w:rStyle w:val="Rimandonotaapidipagina"/>
          <w:rFonts w:cs="Arial"/>
          <w:spacing w:val="4"/>
        </w:rPr>
        <w:footnoteReference w:id="5"/>
      </w:r>
      <w:r w:rsidR="0054443B" w:rsidRPr="005F2269">
        <w:rPr>
          <w:spacing w:val="4"/>
        </w:rPr>
        <w:t xml:space="preserve"> e dalle definizion</w:t>
      </w:r>
      <w:r w:rsidR="00A21B49" w:rsidRPr="005F2269">
        <w:rPr>
          <w:spacing w:val="4"/>
        </w:rPr>
        <w:t>i</w:t>
      </w:r>
      <w:r w:rsidR="0054443B" w:rsidRPr="005F2269">
        <w:rPr>
          <w:spacing w:val="4"/>
        </w:rPr>
        <w:t xml:space="preserve"> utilizzate nell’indagine delle forze di lavoro che considera come occupato anche chi è assente dal lavoro (</w:t>
      </w:r>
      <w:r w:rsidR="00430855" w:rsidRPr="005F2269">
        <w:rPr>
          <w:spacing w:val="4"/>
        </w:rPr>
        <w:t>perché in</w:t>
      </w:r>
      <w:r w:rsidR="0054443B" w:rsidRPr="005F2269">
        <w:rPr>
          <w:spacing w:val="4"/>
        </w:rPr>
        <w:t xml:space="preserve"> Cassa Integrazione Guadagni - CIG).</w:t>
      </w:r>
      <w:r w:rsidR="00745C99" w:rsidRPr="005F2269">
        <w:rPr>
          <w:spacing w:val="4"/>
        </w:rPr>
        <w:t xml:space="preserve"> </w:t>
      </w:r>
      <w:r w:rsidR="0054443B" w:rsidRPr="005F2269">
        <w:rPr>
          <w:spacing w:val="4"/>
        </w:rPr>
        <w:t xml:space="preserve">Il numero di ore settimanali effettivamente lavorate pro-capite, riferito al totale degli occupati, </w:t>
      </w:r>
      <w:r w:rsidR="00A21B49" w:rsidRPr="005F2269">
        <w:rPr>
          <w:spacing w:val="4"/>
        </w:rPr>
        <w:t xml:space="preserve">ha </w:t>
      </w:r>
      <w:r w:rsidR="0054443B" w:rsidRPr="005F2269">
        <w:rPr>
          <w:spacing w:val="4"/>
        </w:rPr>
        <w:t>segna</w:t>
      </w:r>
      <w:r w:rsidR="00A21B49" w:rsidRPr="005F2269">
        <w:rPr>
          <w:spacing w:val="4"/>
        </w:rPr>
        <w:t>to</w:t>
      </w:r>
      <w:r w:rsidR="0054443B" w:rsidRPr="005F2269">
        <w:rPr>
          <w:spacing w:val="4"/>
        </w:rPr>
        <w:t xml:space="preserve"> </w:t>
      </w:r>
      <w:r w:rsidR="007171A9" w:rsidRPr="005F2269">
        <w:rPr>
          <w:spacing w:val="4"/>
        </w:rPr>
        <w:t xml:space="preserve">quindi </w:t>
      </w:r>
      <w:r w:rsidR="0054443B" w:rsidRPr="005F2269">
        <w:rPr>
          <w:spacing w:val="4"/>
        </w:rPr>
        <w:t>una decisa riduzione nei mesi di marzo e aprile</w:t>
      </w:r>
      <w:r w:rsidRPr="005F2269">
        <w:rPr>
          <w:spacing w:val="4"/>
        </w:rPr>
        <w:t xml:space="preserve"> </w:t>
      </w:r>
      <w:r w:rsidR="0054443B" w:rsidRPr="005F2269">
        <w:rPr>
          <w:spacing w:val="4"/>
        </w:rPr>
        <w:t xml:space="preserve">quando si </w:t>
      </w:r>
      <w:r w:rsidR="00A21B49" w:rsidRPr="005F2269">
        <w:rPr>
          <w:spacing w:val="4"/>
        </w:rPr>
        <w:t xml:space="preserve">è </w:t>
      </w:r>
      <w:r w:rsidR="0054443B" w:rsidRPr="005F2269">
        <w:rPr>
          <w:spacing w:val="4"/>
        </w:rPr>
        <w:t>attesta</w:t>
      </w:r>
      <w:r w:rsidR="00A21B49" w:rsidRPr="005F2269">
        <w:rPr>
          <w:spacing w:val="4"/>
        </w:rPr>
        <w:t>to</w:t>
      </w:r>
      <w:r w:rsidR="0054443B" w:rsidRPr="005F2269">
        <w:rPr>
          <w:spacing w:val="4"/>
        </w:rPr>
        <w:t xml:space="preserve"> a 22 ore (34,2 la media del 2019</w:t>
      </w:r>
      <w:r w:rsidR="009D5D15" w:rsidRPr="005F2269">
        <w:rPr>
          <w:spacing w:val="4"/>
        </w:rPr>
        <w:t xml:space="preserve">, Figura </w:t>
      </w:r>
      <w:r w:rsidR="001224EC" w:rsidRPr="005F2269">
        <w:rPr>
          <w:spacing w:val="4"/>
        </w:rPr>
        <w:t>3</w:t>
      </w:r>
      <w:r w:rsidR="0054443B" w:rsidRPr="005F2269">
        <w:rPr>
          <w:spacing w:val="4"/>
        </w:rPr>
        <w:t xml:space="preserve">). </w:t>
      </w:r>
    </w:p>
    <w:p w14:paraId="5201C433" w14:textId="77777777" w:rsidR="00B60D45" w:rsidRPr="005F2269" w:rsidRDefault="00B60D45" w:rsidP="00B60D45">
      <w:pPr>
        <w:pStyle w:val="01testo"/>
        <w:rPr>
          <w:spacing w:val="2"/>
        </w:rPr>
      </w:pPr>
      <w:r w:rsidRPr="005F2269">
        <w:rPr>
          <w:spacing w:val="2"/>
        </w:rPr>
        <w:t xml:space="preserve">Il percorso di ripresa dell’occupazione appare quindi difficile e lungo ed è atteso evolversi congiuntamente ad un graduale aumento della disoccupazione e una riduzione dell’occupazione e dell’inattività. </w:t>
      </w:r>
    </w:p>
    <w:p w14:paraId="5A8D9A89" w14:textId="77777777" w:rsidR="004F2F29" w:rsidRPr="005F2269" w:rsidRDefault="004F2F29" w:rsidP="004F2F29">
      <w:pPr>
        <w:pStyle w:val="01testo"/>
        <w:rPr>
          <w:i/>
          <w:spacing w:val="4"/>
        </w:rPr>
      </w:pPr>
      <w:r w:rsidRPr="005F2269">
        <w:rPr>
          <w:spacing w:val="4"/>
        </w:rPr>
        <w:t>In questo contesto, sia le ore lavorate sia le ULA rifletterebbero più precisamente gli andamenti della produzione con una forte riduzione nell’anno corrente e una moderata ripresa nel 2021. In particolare, le ULA registrerebbero una decisa contrazione nel 2020 (-9,3%) per poi aumentare nel 2021 (+4,1%) sostenute dalla ripresa economica. Nel biennio di previsione, gli effetti di transizione verso l’inattività sono attesi influenzare la disoccupazione che dovrebbe ridursi nell’anno corrente (9,6%) per poi aumentare quello successivo (10,2%).</w:t>
      </w:r>
    </w:p>
    <w:p w14:paraId="5A85C4E7" w14:textId="26DCF256" w:rsidR="009F61EC" w:rsidRDefault="009F61EC" w:rsidP="009F61EC">
      <w:pPr>
        <w:pStyle w:val="01testo"/>
      </w:pPr>
    </w:p>
    <w:p w14:paraId="054982BF" w14:textId="77777777" w:rsidR="004F2F29" w:rsidRDefault="004F2F29" w:rsidP="009F61EC">
      <w:pPr>
        <w:pStyle w:val="01testo"/>
      </w:pPr>
    </w:p>
    <w:p w14:paraId="58DFB69F" w14:textId="7D9236E7" w:rsidR="00885F01" w:rsidRPr="005A52A9" w:rsidRDefault="00885F01" w:rsidP="00885F01">
      <w:pPr>
        <w:pStyle w:val="051tabella-figuratitolo"/>
        <w:rPr>
          <w:caps/>
        </w:rPr>
      </w:pPr>
      <w:r>
        <w:rPr>
          <w:caps/>
        </w:rPr>
        <w:lastRenderedPageBreak/>
        <w:t xml:space="preserve">Figura </w:t>
      </w:r>
      <w:r w:rsidR="001224EC">
        <w:rPr>
          <w:caps/>
        </w:rPr>
        <w:t>3</w:t>
      </w:r>
      <w:r w:rsidRPr="003C0027">
        <w:rPr>
          <w:caps/>
        </w:rPr>
        <w:t xml:space="preserve">. </w:t>
      </w:r>
      <w:r w:rsidR="009F61EC">
        <w:rPr>
          <w:caps/>
        </w:rPr>
        <w:t xml:space="preserve">numero </w:t>
      </w:r>
      <w:r>
        <w:rPr>
          <w:caps/>
        </w:rPr>
        <w:t xml:space="preserve">ORE </w:t>
      </w:r>
      <w:r w:rsidR="009F61EC">
        <w:rPr>
          <w:caps/>
        </w:rPr>
        <w:t xml:space="preserve">settimanali effettivamente </w:t>
      </w:r>
      <w:r>
        <w:rPr>
          <w:caps/>
        </w:rPr>
        <w:t>LAVORATE</w:t>
      </w:r>
      <w:r w:rsidR="009F61EC">
        <w:rPr>
          <w:caps/>
        </w:rPr>
        <w:t xml:space="preserve"> pro-capite</w:t>
      </w:r>
      <w:r>
        <w:rPr>
          <w:caps/>
        </w:rPr>
        <w:t>, TASSO DI DISOCCUPAZIONE E TASSO DI INATTIVITà</w:t>
      </w:r>
    </w:p>
    <w:p w14:paraId="196DD066" w14:textId="24745D47" w:rsidR="00885F01" w:rsidRDefault="00EF2BA6" w:rsidP="00885F01">
      <w:pPr>
        <w:pStyle w:val="052tabella-figurasottotitolo"/>
        <w:spacing w:before="40"/>
      </w:pPr>
      <w:r>
        <w:t>(</w:t>
      </w:r>
      <w:r w:rsidR="00885F01">
        <w:t>Gennaio-Aprile 2020 e media 2019</w:t>
      </w:r>
      <w:r>
        <w:t>)</w:t>
      </w:r>
    </w:p>
    <w:p w14:paraId="24E09C58" w14:textId="523CC623" w:rsidR="00885F01" w:rsidRDefault="001224EC" w:rsidP="00885F01">
      <w:pPr>
        <w:pStyle w:val="01testo"/>
      </w:pPr>
      <w:r>
        <w:rPr>
          <w:noProof/>
          <w:lang w:eastAsia="it-IT"/>
        </w:rPr>
        <w:drawing>
          <wp:inline distT="0" distB="0" distL="0" distR="0" wp14:anchorId="008A17CB" wp14:editId="663FAB38">
            <wp:extent cx="5400675" cy="2343150"/>
            <wp:effectExtent l="0" t="0" r="0" b="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DA93CA" w14:textId="67257898" w:rsidR="00885F01" w:rsidRPr="001224EC" w:rsidRDefault="001224EC" w:rsidP="001224EC">
      <w:pPr>
        <w:pStyle w:val="054tabella-figuranote"/>
      </w:pPr>
      <w:r w:rsidRPr="001224EC">
        <w:t>Fonte: Istat</w:t>
      </w:r>
    </w:p>
    <w:p w14:paraId="2390425A" w14:textId="77777777" w:rsidR="001224EC" w:rsidRDefault="001224EC" w:rsidP="00885F01">
      <w:pPr>
        <w:pStyle w:val="01testo"/>
      </w:pPr>
    </w:p>
    <w:p w14:paraId="1FC344AA" w14:textId="47A847EB" w:rsidR="00AC70B8" w:rsidRPr="006E2B77" w:rsidRDefault="00AC70B8" w:rsidP="00AC70B8">
      <w:pPr>
        <w:pStyle w:val="01testo"/>
      </w:pPr>
      <w:r w:rsidRPr="006E2B77">
        <w:t xml:space="preserve">L’aumento dell’occupazione si accompagnerebbe a </w:t>
      </w:r>
      <w:r w:rsidR="0054443B" w:rsidRPr="006E2B77">
        <w:t>una caduta</w:t>
      </w:r>
      <w:r w:rsidRPr="006E2B77">
        <w:t xml:space="preserve"> del monte </w:t>
      </w:r>
      <w:r w:rsidR="0010659A" w:rsidRPr="006E2B77">
        <w:t>retributivo</w:t>
      </w:r>
      <w:r w:rsidRPr="006E2B77">
        <w:t xml:space="preserve"> </w:t>
      </w:r>
      <w:r w:rsidR="005F70CA" w:rsidRPr="006E2B77">
        <w:t xml:space="preserve">che influenzerebbe anche </w:t>
      </w:r>
      <w:r w:rsidRPr="006E2B77">
        <w:t xml:space="preserve">le retribuzioni </w:t>
      </w:r>
      <w:r w:rsidR="002F3DA5" w:rsidRPr="006E2B77">
        <w:t xml:space="preserve">lorde </w:t>
      </w:r>
      <w:r w:rsidRPr="006E2B77">
        <w:t>per dipendente</w:t>
      </w:r>
      <w:r w:rsidR="005F70CA" w:rsidRPr="006E2B77">
        <w:t xml:space="preserve"> (-</w:t>
      </w:r>
      <w:r w:rsidRPr="006E2B77">
        <w:t>0,</w:t>
      </w:r>
      <w:r w:rsidR="0004657E" w:rsidRPr="006E2B77">
        <w:t>7</w:t>
      </w:r>
      <w:r w:rsidR="005F70CA" w:rsidRPr="006E2B77">
        <w:t>% e -</w:t>
      </w:r>
      <w:r w:rsidRPr="006E2B77">
        <w:t>0,</w:t>
      </w:r>
      <w:r w:rsidR="0004657E" w:rsidRPr="006E2B77">
        <w:t>4</w:t>
      </w:r>
      <w:r w:rsidRPr="006E2B77">
        <w:t>% rispettivamente nel 20</w:t>
      </w:r>
      <w:r w:rsidR="005F70CA" w:rsidRPr="006E2B77">
        <w:t>20 e nel 2021</w:t>
      </w:r>
      <w:r w:rsidRPr="006E2B77">
        <w:t>).</w:t>
      </w:r>
    </w:p>
    <w:p w14:paraId="212DF40B" w14:textId="77777777" w:rsidR="00C32F3B" w:rsidRPr="00CF690B" w:rsidRDefault="00C47EEB" w:rsidP="0000628C">
      <w:pPr>
        <w:pStyle w:val="013titolosottoparagrafo"/>
        <w:rPr>
          <w:sz w:val="16"/>
          <w:szCs w:val="16"/>
        </w:rPr>
      </w:pPr>
      <w:r>
        <w:t>Prezzi in flessione</w:t>
      </w:r>
    </w:p>
    <w:p w14:paraId="7AF80C01" w14:textId="77777777" w:rsidR="00A370D5" w:rsidRDefault="00CF690B" w:rsidP="005C360F">
      <w:pPr>
        <w:pStyle w:val="01testo"/>
      </w:pPr>
      <w:r>
        <w:t xml:space="preserve">Dopo l’episodica ripresa tra dicembre 2019 e gennaio 2020, l’inflazione complessiva </w:t>
      </w:r>
      <w:r w:rsidR="0044278E">
        <w:t>è tornata a decelerare</w:t>
      </w:r>
      <w:r>
        <w:t>, guidat</w:t>
      </w:r>
      <w:r w:rsidR="00E93F19">
        <w:t>a</w:t>
      </w:r>
      <w:r>
        <w:t xml:space="preserve"> dall’andamento delle voci maggiormente volatili. La diffusione del virus </w:t>
      </w:r>
      <w:r w:rsidRPr="00912FBB">
        <w:t>COVID-19</w:t>
      </w:r>
      <w:r>
        <w:t xml:space="preserve"> ha</w:t>
      </w:r>
      <w:r w:rsidRPr="004D5F5F">
        <w:t xml:space="preserve"> </w:t>
      </w:r>
      <w:r>
        <w:t>successivamente fatto prevalere nel sistema dei prezzi gli effetti deflativi connessi</w:t>
      </w:r>
      <w:r w:rsidRPr="00912FBB">
        <w:t xml:space="preserve"> al contenimento della domanda e alla fase </w:t>
      </w:r>
      <w:r>
        <w:t xml:space="preserve">di </w:t>
      </w:r>
      <w:r w:rsidRPr="00912FBB">
        <w:t>eccezionale caduta delle quotazioni del petrolio</w:t>
      </w:r>
      <w:r>
        <w:t>.</w:t>
      </w:r>
      <w:r w:rsidR="005C360F" w:rsidRPr="005C360F">
        <w:t xml:space="preserve"> </w:t>
      </w:r>
    </w:p>
    <w:p w14:paraId="18F1838B" w14:textId="77777777" w:rsidR="00CF690B" w:rsidRPr="00ED7ABC" w:rsidRDefault="00CF690B" w:rsidP="005C360F">
      <w:pPr>
        <w:pStyle w:val="01testo"/>
        <w:rPr>
          <w:spacing w:val="-2"/>
        </w:rPr>
      </w:pPr>
      <w:r w:rsidRPr="00ED7ABC">
        <w:rPr>
          <w:spacing w:val="-2"/>
        </w:rPr>
        <w:t>Il tasso di incremento tendenziale dell’indice per l’intera collettività si è attestato a +0,3% nel primo trimestre, si è annullato ad aprile e a maggio è risultato appena negativo (-0,1%)</w:t>
      </w:r>
      <w:r w:rsidR="005F3FB4">
        <w:rPr>
          <w:spacing w:val="-2"/>
        </w:rPr>
        <w:t>,</w:t>
      </w:r>
      <w:r w:rsidRPr="00ED7ABC">
        <w:rPr>
          <w:spacing w:val="-2"/>
        </w:rPr>
        <w:t xml:space="preserve"> per la prima volta dall’ottobre 2016. </w:t>
      </w:r>
      <w:r w:rsidR="005F3FB4">
        <w:rPr>
          <w:spacing w:val="-2"/>
        </w:rPr>
        <w:t>L’evoluzione è stata influenzata</w:t>
      </w:r>
      <w:r w:rsidRPr="00ED7ABC">
        <w:rPr>
          <w:spacing w:val="-2"/>
        </w:rPr>
        <w:t xml:space="preserve"> </w:t>
      </w:r>
      <w:r w:rsidR="005F3FB4">
        <w:rPr>
          <w:spacing w:val="-2"/>
        </w:rPr>
        <w:t>da</w:t>
      </w:r>
      <w:r w:rsidRPr="00ED7ABC">
        <w:rPr>
          <w:spacing w:val="-2"/>
        </w:rPr>
        <w:t xml:space="preserve">l contributo fortemente negativo delle voci energetiche (-12,7% a maggio da -2,1% di gennaio); robusti rincari si sono </w:t>
      </w:r>
      <w:r w:rsidR="005F3FB4">
        <w:rPr>
          <w:spacing w:val="-2"/>
        </w:rPr>
        <w:t xml:space="preserve">invece </w:t>
      </w:r>
      <w:r w:rsidRPr="00ED7ABC">
        <w:rPr>
          <w:spacing w:val="-2"/>
        </w:rPr>
        <w:t xml:space="preserve">registrati per i beni alimentari, a fronte di una domanda più sostenuta e dell’emergere di maggiori costi di produzione soprattutto per alcune voci della componente non trasformata (+3,7% a maggio, +0,1% a febbraio). </w:t>
      </w:r>
    </w:p>
    <w:p w14:paraId="045024AC" w14:textId="5FBBA237" w:rsidR="00022798" w:rsidRDefault="00AF391A" w:rsidP="0000628C">
      <w:pPr>
        <w:pStyle w:val="01testo"/>
      </w:pPr>
      <w:r>
        <w:t>In presenza di una fase di contenimento dei</w:t>
      </w:r>
      <w:r w:rsidR="00CF690B">
        <w:t xml:space="preserve"> costi interni, </w:t>
      </w:r>
      <w:r>
        <w:t>di una</w:t>
      </w:r>
      <w:r w:rsidR="00CF690B">
        <w:t xml:space="preserve"> bassa crescita salariale e </w:t>
      </w:r>
      <w:r>
        <w:t>de</w:t>
      </w:r>
      <w:r w:rsidR="00CF690B">
        <w:t>lla forte flessione della domanda di consumo, l</w:t>
      </w:r>
      <w:r w:rsidR="00CF690B" w:rsidRPr="00912FBB">
        <w:t>’inflazione di fondo</w:t>
      </w:r>
      <w:r w:rsidR="00CF690B">
        <w:t xml:space="preserve"> (nell’accezione che esclude energetici, alimentari e tabacchi) </w:t>
      </w:r>
      <w:r w:rsidR="00CF690B" w:rsidRPr="00912FBB">
        <w:t xml:space="preserve">è rimasta </w:t>
      </w:r>
      <w:r w:rsidR="00CF690B">
        <w:t xml:space="preserve">stabile su tassi annui molto contenuti (+0,7% a maggio come nel primo trimestre). </w:t>
      </w:r>
      <w:r>
        <w:t>L</w:t>
      </w:r>
      <w:r w:rsidR="00CF690B">
        <w:t>e principali componenti si sono mosse con dinamiche contrapposte: in rallentamento per i servizi, in ripresa per i beni industriali non energetici</w:t>
      </w:r>
      <w:r w:rsidR="00CF690B">
        <w:rPr>
          <w:rStyle w:val="Rimandonotaapidipagina"/>
        </w:rPr>
        <w:footnoteReference w:id="6"/>
      </w:r>
      <w:r w:rsidR="00CF690B">
        <w:t>.</w:t>
      </w:r>
    </w:p>
    <w:p w14:paraId="119B7E4E" w14:textId="77777777" w:rsidR="00CF690B" w:rsidRPr="00345D61" w:rsidRDefault="006C411E" w:rsidP="0000628C">
      <w:pPr>
        <w:pStyle w:val="01testo"/>
        <w:rPr>
          <w:b/>
        </w:rPr>
      </w:pPr>
      <w:r>
        <w:t>In Italia i</w:t>
      </w:r>
      <w:r w:rsidR="00CF690B">
        <w:t xml:space="preserve">l permanere di condizioni cicliche deboli ha </w:t>
      </w:r>
      <w:r>
        <w:t xml:space="preserve">determinato </w:t>
      </w:r>
      <w:r w:rsidR="00F10566">
        <w:t xml:space="preserve">la </w:t>
      </w:r>
      <w:r>
        <w:t>conferma</w:t>
      </w:r>
      <w:r w:rsidR="00CF690B">
        <w:t xml:space="preserve"> </w:t>
      </w:r>
      <w:r>
        <w:t xml:space="preserve">di un </w:t>
      </w:r>
      <w:r w:rsidR="00F10566">
        <w:t xml:space="preserve">tasso </w:t>
      </w:r>
      <w:r>
        <w:t>di</w:t>
      </w:r>
      <w:r w:rsidR="00CF690B">
        <w:t xml:space="preserve"> inflazione inferiore a </w:t>
      </w:r>
      <w:r w:rsidR="00F10566">
        <w:t xml:space="preserve">quello medio </w:t>
      </w:r>
      <w:r w:rsidR="00CF690B">
        <w:t>dell’area euro. Il divario negativo si è andato tuttavia riducendo,</w:t>
      </w:r>
      <w:r w:rsidR="00CF690B" w:rsidRPr="0036282C">
        <w:t xml:space="preserve"> </w:t>
      </w:r>
      <w:r w:rsidR="00CF690B" w:rsidRPr="00912FBB">
        <w:t xml:space="preserve">sia con riguardo all’indice complessivo sia alla </w:t>
      </w:r>
      <w:r w:rsidR="00CF690B" w:rsidRPr="00ED7ABC">
        <w:rPr>
          <w:i/>
        </w:rPr>
        <w:t>core inflation</w:t>
      </w:r>
      <w:r w:rsidR="00CF690B">
        <w:t xml:space="preserve">: 0,3 punti percentuali in meno a maggio per entrambe le misure, a fronte di </w:t>
      </w:r>
      <w:r w:rsidR="00CF690B" w:rsidRPr="00912FBB">
        <w:t>-1,0 e -0,7 punti percentuali a febbraio</w:t>
      </w:r>
      <w:r w:rsidR="00CF690B">
        <w:t>. L’avvicinamento tra i ritmi di crescita ha interessato tutti i principali raggruppamenti, ad esclusione dei servizi dove il gap inflazionistico negativo si è viceversa ampliato.</w:t>
      </w:r>
    </w:p>
    <w:p w14:paraId="15492312" w14:textId="1B4E5929" w:rsidR="00CF690B" w:rsidRDefault="00CF690B" w:rsidP="00F51D50">
      <w:pPr>
        <w:pStyle w:val="01testo"/>
      </w:pPr>
      <w:r>
        <w:t xml:space="preserve">Nei prossimi mesi dovrebbero continuare a prevalere </w:t>
      </w:r>
      <w:r w:rsidR="00611B45">
        <w:t>segnali deflativi</w:t>
      </w:r>
      <w:r>
        <w:t xml:space="preserve">. Oltre alle tendenze negative che caratterizzano al momento i prezzi nelle fasi a monte della distribuzione finale, alla produzione e soprattutto all’importazione, un contributo determinante sarà fornito dalla forte riduzione dei costi energetici. A fronte di rialzi sostenuti per i beni alimentari, </w:t>
      </w:r>
      <w:r w:rsidR="00611B45">
        <w:t>le condizioni economiche negative associate al dispiegarsi dell’attuale pandemia genererebbero</w:t>
      </w:r>
      <w:r>
        <w:t xml:space="preserve"> apporti inflazionistici contenuti per le principali componenti di fondo. Nella media del 2020 il tasso di variazione del deflatore della </w:t>
      </w:r>
      <w:r>
        <w:lastRenderedPageBreak/>
        <w:t>spesa delle famiglie è previsto leggermente negativo (-0,</w:t>
      </w:r>
      <w:r w:rsidR="00C47EEB">
        <w:t>3</w:t>
      </w:r>
      <w:r>
        <w:t>%; +0,</w:t>
      </w:r>
      <w:r w:rsidR="00E752EA">
        <w:t>5</w:t>
      </w:r>
      <w:r>
        <w:t>% nel 2019); il deflatore del Pil segnerà una crescita del +</w:t>
      </w:r>
      <w:r w:rsidRPr="00C47EEB">
        <w:t>0,</w:t>
      </w:r>
      <w:r w:rsidR="00C47EEB" w:rsidRPr="00C47EEB">
        <w:t>5</w:t>
      </w:r>
      <w:r>
        <w:t>% (</w:t>
      </w:r>
      <w:r w:rsidR="00C47EEB">
        <w:t>quattro</w:t>
      </w:r>
      <w:r>
        <w:t xml:space="preserve"> decimi in meno rispetto al 2019), come conseguenza della natura esogena delle spinte deflative. </w:t>
      </w:r>
    </w:p>
    <w:p w14:paraId="31D32DE0" w14:textId="77777777" w:rsidR="00386FDF" w:rsidRPr="00F51D50" w:rsidRDefault="00CF690B" w:rsidP="00F51D50">
      <w:pPr>
        <w:pStyle w:val="01testo"/>
      </w:pPr>
      <w:r>
        <w:t xml:space="preserve">Il prossimo anno, sotto le ipotesi di una stabilizzazione delle quotazioni del petrolio e del cambio e nel quadro del miglioramento atteso per la fase economica interna, la dinamica dei prezzi riacquisterà un ritmo positivo. Nel 2021, il deflatore della spesa per consumi delle famiglie è atteso crescere dello </w:t>
      </w:r>
      <w:r w:rsidRPr="00C47EEB">
        <w:t xml:space="preserve">0,7% </w:t>
      </w:r>
      <w:r w:rsidRPr="00E55920">
        <w:t>in media d’anno.</w:t>
      </w:r>
    </w:p>
    <w:p w14:paraId="0D93B708" w14:textId="77777777" w:rsidR="00304C98" w:rsidRPr="007324A0" w:rsidRDefault="002F0316" w:rsidP="007324A0">
      <w:pPr>
        <w:pStyle w:val="012titoloparagrafo"/>
      </w:pPr>
      <w:r w:rsidRPr="007324A0">
        <w:t>Revisioni del precedente quadro previsivo</w:t>
      </w:r>
    </w:p>
    <w:p w14:paraId="76E15A69" w14:textId="27D5A837" w:rsidR="00454C5A" w:rsidRPr="003D256D" w:rsidRDefault="00454C5A" w:rsidP="00A83754">
      <w:pPr>
        <w:pStyle w:val="01testo"/>
      </w:pPr>
      <w:r w:rsidRPr="003D256D">
        <w:t>Rispetto al quadro previsivo di dicembre 2019 l’attuale scenario presenta significative rev</w:t>
      </w:r>
      <w:r w:rsidR="00A83754">
        <w:t>isioni al ribasso legate alla diffusione della pandemia che ha inciso in misura significativa sul commercio mondiale e sulle attività economiche di tutti i paesi</w:t>
      </w:r>
      <w:r w:rsidR="00D440AA">
        <w:t>,</w:t>
      </w:r>
      <w:r w:rsidR="00A83754">
        <w:t xml:space="preserve"> creando i presupposti anche per una riduzione del prezzo del petrolio. In particolare, rispetto allo scenario previsivo presentato a dicembre, </w:t>
      </w:r>
      <w:r w:rsidRPr="003D256D">
        <w:t xml:space="preserve">il tasso di crescita del commercio mondiale è stato rivisto </w:t>
      </w:r>
      <w:r w:rsidR="00F10566">
        <w:t xml:space="preserve">al ribasso </w:t>
      </w:r>
      <w:r w:rsidRPr="003D256D">
        <w:t>di 13,3 punti percentuali</w:t>
      </w:r>
      <w:r w:rsidR="003D256D">
        <w:t xml:space="preserve"> </w:t>
      </w:r>
      <w:r w:rsidR="00A83754">
        <w:t>mentre le</w:t>
      </w:r>
      <w:r w:rsidR="00F10566">
        <w:t xml:space="preserve"> quotazioni</w:t>
      </w:r>
      <w:r w:rsidRPr="003D256D">
        <w:t xml:space="preserve"> del petrolio </w:t>
      </w:r>
      <w:r w:rsidR="00A83754">
        <w:t xml:space="preserve">hanno segnato una correzione al ribasso </w:t>
      </w:r>
      <w:r w:rsidRPr="003D256D">
        <w:t xml:space="preserve">di </w:t>
      </w:r>
      <w:r w:rsidR="00E752EA">
        <w:t>27</w:t>
      </w:r>
      <w:r w:rsidRPr="003D256D">
        <w:t>,</w:t>
      </w:r>
      <w:r w:rsidR="00E752EA">
        <w:t>2</w:t>
      </w:r>
      <w:r w:rsidRPr="003D256D">
        <w:t xml:space="preserve"> dollari al barile. </w:t>
      </w:r>
    </w:p>
    <w:p w14:paraId="3E566A4D" w14:textId="711E7F49" w:rsidR="00A83754" w:rsidRPr="005156BB" w:rsidRDefault="00A83754" w:rsidP="00454C5A">
      <w:pPr>
        <w:pStyle w:val="01testo"/>
      </w:pPr>
      <w:r w:rsidRPr="005156BB">
        <w:t>Il cambiamento dei valori delle esogene introdotto all’interno del modello MeMo-It ha determinato una conseguente revisione al ribasso di esportazione e importazioni</w:t>
      </w:r>
      <w:r w:rsidR="00F10566" w:rsidRPr="005156BB">
        <w:t xml:space="preserve"> (</w:t>
      </w:r>
      <w:r w:rsidR="00454C5A" w:rsidRPr="005156BB">
        <w:t xml:space="preserve">rispettivamente di -15,7 e </w:t>
      </w:r>
      <w:r w:rsidR="005156BB">
        <w:br/>
      </w:r>
      <w:r w:rsidR="00454C5A" w:rsidRPr="005156BB">
        <w:t>-16,</w:t>
      </w:r>
      <w:r w:rsidR="00BF094B" w:rsidRPr="005156BB">
        <w:t>1</w:t>
      </w:r>
      <w:r w:rsidR="00454C5A" w:rsidRPr="005156BB">
        <w:t xml:space="preserve"> punti percentuali</w:t>
      </w:r>
      <w:r w:rsidR="00F10566" w:rsidRPr="005156BB">
        <w:t xml:space="preserve">). </w:t>
      </w:r>
    </w:p>
    <w:p w14:paraId="1438E511" w14:textId="461653A0" w:rsidR="0008654E" w:rsidRDefault="00A83754" w:rsidP="00454C5A">
      <w:pPr>
        <w:pStyle w:val="01testo"/>
      </w:pPr>
      <w:r>
        <w:t>Con riferimento alla domanda interna, le revisioni al ribasso sono collegate alla diffusione della pandemia che è stata fronteggiata sia attuando la sospensione delle attività di alcune categorie di imprese sia introducendo misure di distanziamento sociale con inevitabili conseguenze sulla produzione, gli investimenti e i consumi. In particolare la revisione al ribasso è stata più accentuata per gli investimenti (</w:t>
      </w:r>
      <w:r w:rsidR="00454C5A" w:rsidRPr="003D256D">
        <w:t>-14,2 punti percentuali</w:t>
      </w:r>
      <w:r>
        <w:t>)</w:t>
      </w:r>
      <w:r w:rsidR="00454C5A" w:rsidRPr="003D256D">
        <w:t xml:space="preserve"> </w:t>
      </w:r>
      <w:r>
        <w:t>rispetto ai consumi (</w:t>
      </w:r>
      <w:r w:rsidR="00454C5A" w:rsidRPr="003D256D">
        <w:t>-9,</w:t>
      </w:r>
      <w:r>
        <w:t>3 punti percentuali)</w:t>
      </w:r>
      <w:r w:rsidR="00454C5A" w:rsidRPr="003D256D">
        <w:t xml:space="preserve">. </w:t>
      </w:r>
      <w:r>
        <w:t>Nel complesso la revisione</w:t>
      </w:r>
      <w:r w:rsidR="00454C5A" w:rsidRPr="003D256D">
        <w:t xml:space="preserve"> al ribasso del </w:t>
      </w:r>
      <w:r w:rsidR="00F10566" w:rsidRPr="003D256D">
        <w:t>P</w:t>
      </w:r>
      <w:r w:rsidR="00F10566">
        <w:t>il</w:t>
      </w:r>
      <w:r w:rsidR="00F10566" w:rsidRPr="003D256D">
        <w:t xml:space="preserve"> </w:t>
      </w:r>
      <w:r w:rsidR="00454958">
        <w:t xml:space="preserve">è stata pari a </w:t>
      </w:r>
      <w:r w:rsidR="00E752EA">
        <w:t xml:space="preserve">circa </w:t>
      </w:r>
      <w:r w:rsidR="00454C5A" w:rsidRPr="003D256D">
        <w:t>9 punti percentuali.</w:t>
      </w:r>
    </w:p>
    <w:p w14:paraId="66F633F8" w14:textId="77777777" w:rsidR="00C122BF" w:rsidRDefault="00C122BF" w:rsidP="00D72111">
      <w:pPr>
        <w:pStyle w:val="01testo"/>
      </w:pPr>
    </w:p>
    <w:p w14:paraId="0E34993F" w14:textId="77777777" w:rsidR="0053524B" w:rsidRDefault="0053524B">
      <w:pPr>
        <w:spacing w:after="0" w:line="240" w:lineRule="auto"/>
        <w:rPr>
          <w:rFonts w:ascii="Arial" w:hAnsi="Arial" w:cs="Arial"/>
          <w:iCs/>
          <w:sz w:val="20"/>
          <w:szCs w:val="20"/>
        </w:rPr>
      </w:pPr>
      <w:r>
        <w:br w:type="page"/>
      </w:r>
    </w:p>
    <w:p w14:paraId="065D4676" w14:textId="77777777" w:rsidR="0060498A" w:rsidRDefault="00303A5C" w:rsidP="00303A5C">
      <w:pPr>
        <w:spacing w:after="120" w:line="240" w:lineRule="auto"/>
        <w:ind w:left="1814"/>
        <w:rPr>
          <w:rFonts w:ascii="Arial Narrow" w:hAnsi="Arial Narrow"/>
          <w:b/>
          <w:bCs/>
          <w:caps/>
          <w:color w:val="5F5F5F"/>
          <w:spacing w:val="-10"/>
          <w:sz w:val="40"/>
          <w:szCs w:val="40"/>
        </w:rPr>
      </w:pPr>
      <w:r w:rsidRPr="0060498A">
        <w:rPr>
          <w:rFonts w:ascii="Arial Narrow" w:hAnsi="Arial Narrow"/>
          <w:b/>
          <w:bCs/>
          <w:caps/>
          <w:color w:val="5F5F5F"/>
          <w:spacing w:val="-10"/>
          <w:sz w:val="40"/>
          <w:szCs w:val="40"/>
        </w:rPr>
        <w:lastRenderedPageBreak/>
        <w:t>Le incertezze dello scenario previsivo:</w:t>
      </w:r>
    </w:p>
    <w:p w14:paraId="453C0BD0" w14:textId="2CE89554" w:rsidR="00303A5C" w:rsidRPr="0060498A" w:rsidRDefault="00303A5C" w:rsidP="00303A5C">
      <w:pPr>
        <w:spacing w:after="120" w:line="240" w:lineRule="auto"/>
        <w:ind w:left="1814"/>
        <w:rPr>
          <w:rFonts w:ascii="Arial Narrow" w:hAnsi="Arial Narrow"/>
          <w:caps/>
          <w:color w:val="5F5F5F"/>
          <w:spacing w:val="-10"/>
          <w:sz w:val="32"/>
          <w:szCs w:val="32"/>
        </w:rPr>
      </w:pPr>
      <w:r w:rsidRPr="0060498A">
        <w:rPr>
          <w:rFonts w:ascii="Arial Narrow" w:hAnsi="Arial Narrow"/>
          <w:caps/>
          <w:color w:val="5F5F5F"/>
          <w:spacing w:val="-10"/>
          <w:sz w:val="32"/>
          <w:szCs w:val="32"/>
        </w:rPr>
        <w:t>Commercio estero, consumi e investimenti</w:t>
      </w:r>
    </w:p>
    <w:p w14:paraId="2B9E1676" w14:textId="77777777" w:rsidR="00303A5C" w:rsidRPr="0053524B" w:rsidRDefault="00303A5C" w:rsidP="00303A5C">
      <w:pPr>
        <w:spacing w:after="0" w:line="240" w:lineRule="auto"/>
        <w:ind w:left="1814"/>
        <w:jc w:val="both"/>
        <w:rPr>
          <w:rFonts w:ascii="Arial" w:hAnsi="Arial" w:cs="Arial"/>
          <w:iCs/>
          <w:sz w:val="20"/>
          <w:szCs w:val="20"/>
        </w:rPr>
      </w:pPr>
    </w:p>
    <w:p w14:paraId="6AD075EC" w14:textId="77777777" w:rsidR="00303A5C" w:rsidRPr="0053524B" w:rsidRDefault="00303A5C" w:rsidP="00303A5C">
      <w:pPr>
        <w:spacing w:after="0" w:line="240" w:lineRule="auto"/>
        <w:ind w:left="1814"/>
        <w:jc w:val="both"/>
        <w:rPr>
          <w:rFonts w:ascii="Arial" w:hAnsi="Arial" w:cs="Arial"/>
          <w:iCs/>
          <w:sz w:val="20"/>
          <w:szCs w:val="20"/>
        </w:rPr>
      </w:pPr>
    </w:p>
    <w:p w14:paraId="5A48BC65" w14:textId="22AE045A" w:rsidR="00303A5C" w:rsidRDefault="00303A5C" w:rsidP="00303A5C">
      <w:pPr>
        <w:pStyle w:val="01testo"/>
      </w:pPr>
      <w:r>
        <w:t xml:space="preserve">L’attuale scenario di previsione si basa su una serie di ipotesi </w:t>
      </w:r>
      <w:r w:rsidR="00596DCE">
        <w:t xml:space="preserve">che riguardano il profilo infrannuale del </w:t>
      </w:r>
      <w:r>
        <w:t xml:space="preserve">commercio internazionale, dei consumi e degli investimenti </w:t>
      </w:r>
      <w:r w:rsidR="00596DCE">
        <w:t xml:space="preserve">soprattutto con riferimento alla ripresa </w:t>
      </w:r>
      <w:r>
        <w:t>che è attesa realizzarsi a partire dalla seconda metà dell’anno.</w:t>
      </w:r>
      <w:r w:rsidRPr="0053524B">
        <w:t xml:space="preserve"> </w:t>
      </w:r>
      <w:r>
        <w:t>In questo approfondimento, u</w:t>
      </w:r>
      <w:r w:rsidRPr="002E3EAC">
        <w:t>tilizzando il modello macroeconometrico dell’Istat, MeMo-It,</w:t>
      </w:r>
      <w:r>
        <w:t xml:space="preserve"> si offre una possibile quantificazione di uno scenario alternativo </w:t>
      </w:r>
      <w:r w:rsidR="00836BF5">
        <w:t>legato a una</w:t>
      </w:r>
      <w:r w:rsidRPr="002E3EAC">
        <w:t xml:space="preserve"> riduzione del commercio internazionale</w:t>
      </w:r>
      <w:r>
        <w:t xml:space="preserve">. Si propongono anche due ulteriori </w:t>
      </w:r>
      <w:r w:rsidR="001C2CD6">
        <w:t>simulazioni</w:t>
      </w:r>
      <w:r>
        <w:t>: l</w:t>
      </w:r>
      <w:r w:rsidR="001C2CD6">
        <w:t>a</w:t>
      </w:r>
      <w:r>
        <w:t xml:space="preserve"> prim</w:t>
      </w:r>
      <w:r w:rsidR="001C2CD6">
        <w:t>a</w:t>
      </w:r>
      <w:r>
        <w:t xml:space="preserve"> presenta una stima degli effetti di un incremento della spesa pubblica in investimenti in ricerca e sviluppo (R&amp;D)</w:t>
      </w:r>
      <w:r w:rsidRPr="00770719">
        <w:t xml:space="preserve"> </w:t>
      </w:r>
      <w:r>
        <w:t>mentre l</w:t>
      </w:r>
      <w:r w:rsidR="001C2CD6">
        <w:t>a</w:t>
      </w:r>
      <w:r>
        <w:t xml:space="preserve"> secondo valuta l’impatto di un possibile </w:t>
      </w:r>
      <w:r w:rsidR="001C2CD6">
        <w:t>miglioramento</w:t>
      </w:r>
      <w:r>
        <w:t xml:space="preserve"> della disuguaglianza sull’andamento dei consumi delle famiglie. </w:t>
      </w:r>
    </w:p>
    <w:p w14:paraId="3B9D41FC" w14:textId="7A292771" w:rsidR="0060498A" w:rsidRPr="0060498A" w:rsidRDefault="00303A5C" w:rsidP="0060498A">
      <w:pPr>
        <w:pStyle w:val="015elencoquadretto"/>
        <w:spacing w:after="60"/>
        <w:ind w:left="1814"/>
        <w:rPr>
          <w:szCs w:val="20"/>
        </w:rPr>
      </w:pPr>
      <w:r w:rsidRPr="00303A5C">
        <w:t xml:space="preserve">Per quanto riguarda l’evoluzione del commercio mondiale si è quantificata l’ipotesi di un rallentamento più pronunciato del commercio mondiale nel 2021 derivante dalle difficoltà connesse alla ripresa dei tradizionali processi produttivi connotati dalla presenza </w:t>
      </w:r>
      <w:r w:rsidR="001C2CD6">
        <w:t>delle imprese italiane all’interno delle</w:t>
      </w:r>
      <w:r w:rsidRPr="00303A5C">
        <w:t xml:space="preserve"> catene del valore. </w:t>
      </w:r>
    </w:p>
    <w:p w14:paraId="75EBD774" w14:textId="71F41381" w:rsidR="00303A5C" w:rsidRPr="00303A5C" w:rsidRDefault="00303A5C" w:rsidP="0060498A">
      <w:pPr>
        <w:pStyle w:val="01testo"/>
      </w:pPr>
      <w:r w:rsidRPr="00303A5C">
        <w:t>L’ipotesi è stata valutata in termini di scostamento rispetto allo scenario di previsione presentato nel Prospetto 1. Un rallentamento del commercio mondiale, pari a 5 punti percentuali rispetto allo scenario base determinerebbe una flessione sia delle esportazioni (-5,3 punti percentuali) sia, in misura minore, delle importazioni (-1,9 punti percentuali), provocando un rallentamento della crescita del Pil pari a 1,1 punti percentuali.</w:t>
      </w:r>
    </w:p>
    <w:p w14:paraId="7B44033B" w14:textId="4700ABE9" w:rsidR="008A2D9A" w:rsidRPr="008A2D9A" w:rsidRDefault="00303A5C" w:rsidP="008A2D9A">
      <w:pPr>
        <w:pStyle w:val="015elencoquadretto"/>
        <w:spacing w:after="60"/>
        <w:ind w:left="1814"/>
        <w:rPr>
          <w:iCs w:val="0"/>
        </w:rPr>
      </w:pPr>
      <w:r w:rsidRPr="00303A5C">
        <w:t>Il calo degli investimenti previsto per l’anno in corso è atteso produrre una riduzione della quota degli investimenti sul Pil rispetto al 2019 aumentando le difficoltà del processo di accumulazione del capitale</w:t>
      </w:r>
      <w:r w:rsidR="00596DCE">
        <w:t>,</w:t>
      </w:r>
      <w:r w:rsidRPr="00303A5C">
        <w:t xml:space="preserve"> che appaiono evidenti considerando il confronto con i principali paesi europei. </w:t>
      </w:r>
    </w:p>
    <w:p w14:paraId="1AC8AC02" w14:textId="6F37AAD8" w:rsidR="00303A5C" w:rsidRPr="008A2D9A" w:rsidRDefault="00303A5C" w:rsidP="008A2D9A">
      <w:pPr>
        <w:pStyle w:val="01testo"/>
        <w:spacing w:after="60"/>
        <w:rPr>
          <w:iCs w:val="0"/>
        </w:rPr>
      </w:pPr>
      <w:r w:rsidRPr="008A2D9A">
        <w:rPr>
          <w:iCs w:val="0"/>
        </w:rPr>
        <w:t xml:space="preserve">Nel 2019 in Italia la quota degli investimenti totali sul Pil era pari al 18,1%, decisamente inferiore alla media dei paesi dell’area euro (21,9%) e a quella dei principali paesi europei. Tale valore, seppure in recupero negli ultimi anni (era 16,9% nel 2015), rimane decisamente inferiore ai livelli del 2008 (21,3%). Negli stessi anni la quota degli investimenti mostrava decisi segnali di recupero </w:t>
      </w:r>
      <w:r w:rsidR="001C2CD6">
        <w:rPr>
          <w:iCs w:val="0"/>
        </w:rPr>
        <w:t>a</w:t>
      </w:r>
      <w:r w:rsidRPr="008A2D9A">
        <w:rPr>
          <w:iCs w:val="0"/>
        </w:rPr>
        <w:t>i valori pre-crisi per l’area euro (era 22,8% nel 2008)</w:t>
      </w:r>
      <w:r w:rsidR="001C2CD6">
        <w:rPr>
          <w:iCs w:val="0"/>
        </w:rPr>
        <w:t>,</w:t>
      </w:r>
      <w:r w:rsidRPr="008A2D9A">
        <w:rPr>
          <w:iCs w:val="0"/>
        </w:rPr>
        <w:t xml:space="preserve"> la Francia (23,6% lo stesso valore del 2019) e la Germania (20,3% nel 2008 e 21,7% nel 2019). La Spagna, caratterizzata dal crollo degli investimenti in costruzione durant</w:t>
      </w:r>
      <w:r w:rsidR="001C2CD6">
        <w:rPr>
          <w:iCs w:val="0"/>
        </w:rPr>
        <w:t>e la crisi finanziaria del 2009</w:t>
      </w:r>
      <w:r w:rsidRPr="008A2D9A">
        <w:rPr>
          <w:iCs w:val="0"/>
        </w:rPr>
        <w:t xml:space="preserve"> costituisce l’unica eccezione (27,8% nel 2008 e 20,0% nel 2019).</w:t>
      </w:r>
    </w:p>
    <w:p w14:paraId="1F7B960E" w14:textId="165393F8" w:rsidR="00303A5C" w:rsidRDefault="00303A5C" w:rsidP="008A2D9A">
      <w:pPr>
        <w:pStyle w:val="01testo"/>
        <w:spacing w:after="60"/>
      </w:pPr>
      <w:r>
        <w:t>La contenuta ripresa della spesa in investimenti italiani degli ultimi anni è stata caratterizzata anche da una ricomposizione a favore di quelli in macchinari e attrezzature, una evoluzione difforme rispetto ai principali paesi europei. Questo comportamen</w:t>
      </w:r>
      <w:r w:rsidR="00836BF5">
        <w:t xml:space="preserve">to ha acuito </w:t>
      </w:r>
      <w:r>
        <w:t xml:space="preserve">la distanza italiana rispetto agli investimenti in proprietà intellettuale (PRI) che includono quelli in ricerca e sviluppo e software e che risultano maggiormente legati agli aumenti di produttività. </w:t>
      </w:r>
    </w:p>
    <w:p w14:paraId="63385BF1" w14:textId="7D446469" w:rsidR="00303A5C" w:rsidRDefault="00303A5C" w:rsidP="008A2D9A">
      <w:pPr>
        <w:pStyle w:val="01testo"/>
        <w:spacing w:after="60"/>
      </w:pPr>
      <w:r w:rsidRPr="00B57B58">
        <w:t xml:space="preserve">L’Italia ha registrato una dinamica degli investimenti in PRI nettamente più lenta rispetto agli altri paesi nel periodo successivo al 2007. Ponendo </w:t>
      </w:r>
      <w:r w:rsidR="00596DCE">
        <w:t xml:space="preserve">uguale </w:t>
      </w:r>
      <w:r w:rsidRPr="00B57B58">
        <w:t>a 100 il valore degli investimenti in PRI a prezzi concatenati del 200</w:t>
      </w:r>
      <w:r>
        <w:t>8</w:t>
      </w:r>
      <w:r w:rsidRPr="00B57B58">
        <w:t>, nel 201</w:t>
      </w:r>
      <w:r>
        <w:t>9</w:t>
      </w:r>
      <w:r w:rsidRPr="00B57B58">
        <w:t xml:space="preserve"> il livello dell’Italia risultava pari a 12</w:t>
      </w:r>
      <w:r>
        <w:t>5</w:t>
      </w:r>
      <w:r w:rsidRPr="00B57B58">
        <w:t xml:space="preserve"> mentre per l’area euro </w:t>
      </w:r>
      <w:r>
        <w:t xml:space="preserve">(161,2%) </w:t>
      </w:r>
      <w:r w:rsidRPr="00B57B58">
        <w:t xml:space="preserve">e per i principali paesi europei il livello raggiunto era </w:t>
      </w:r>
      <w:r>
        <w:t xml:space="preserve">decisamente superiore (141,2% in Germania, 141,1 </w:t>
      </w:r>
      <w:r w:rsidR="001C2CD6">
        <w:t xml:space="preserve">in Francia e 136,6% </w:t>
      </w:r>
      <w:r>
        <w:t xml:space="preserve">in Spagna, </w:t>
      </w:r>
      <w:r w:rsidRPr="00B57B58">
        <w:t xml:space="preserve">Figura </w:t>
      </w:r>
      <w:r>
        <w:t>4</w:t>
      </w:r>
      <w:r w:rsidRPr="00B57B58">
        <w:t>)</w:t>
      </w:r>
      <w:r>
        <w:rPr>
          <w:rStyle w:val="Rimandonotaapidipagina"/>
          <w:spacing w:val="4"/>
        </w:rPr>
        <w:footnoteReference w:id="7"/>
      </w:r>
      <w:r w:rsidRPr="00B57B58">
        <w:t>.</w:t>
      </w:r>
    </w:p>
    <w:p w14:paraId="5CD6A101" w14:textId="5848940E" w:rsidR="008A2D9A" w:rsidRDefault="008A2D9A" w:rsidP="008A2D9A">
      <w:pPr>
        <w:spacing w:after="60" w:line="240" w:lineRule="auto"/>
        <w:ind w:left="1814"/>
        <w:jc w:val="both"/>
        <w:rPr>
          <w:rFonts w:ascii="Arial" w:hAnsi="Arial" w:cs="Arial"/>
          <w:iCs/>
          <w:spacing w:val="4"/>
          <w:sz w:val="20"/>
          <w:szCs w:val="20"/>
        </w:rPr>
      </w:pPr>
      <w:r w:rsidRPr="002E3EAC">
        <w:rPr>
          <w:rFonts w:ascii="Arial" w:hAnsi="Arial" w:cs="Arial"/>
          <w:iCs/>
          <w:spacing w:val="4"/>
          <w:sz w:val="20"/>
          <w:szCs w:val="20"/>
        </w:rPr>
        <w:t>La struttura d</w:t>
      </w:r>
      <w:r w:rsidR="00596DCE">
        <w:rPr>
          <w:rFonts w:ascii="Arial" w:hAnsi="Arial" w:cs="Arial"/>
          <w:iCs/>
          <w:spacing w:val="4"/>
          <w:sz w:val="20"/>
          <w:szCs w:val="20"/>
        </w:rPr>
        <w:t xml:space="preserve">el modello </w:t>
      </w:r>
      <w:r w:rsidRPr="002E3EAC">
        <w:rPr>
          <w:rFonts w:ascii="Arial" w:hAnsi="Arial" w:cs="Arial"/>
          <w:iCs/>
          <w:spacing w:val="4"/>
          <w:sz w:val="20"/>
          <w:szCs w:val="20"/>
        </w:rPr>
        <w:t xml:space="preserve">MeMo-It </w:t>
      </w:r>
      <w:r>
        <w:rPr>
          <w:rFonts w:ascii="Arial" w:hAnsi="Arial" w:cs="Arial"/>
          <w:iCs/>
          <w:spacing w:val="4"/>
          <w:sz w:val="20"/>
          <w:szCs w:val="20"/>
        </w:rPr>
        <w:t xml:space="preserve">presenta una modellizzazione degli investimenti e dello stock di capitale disaggregata rispetto agli asset e ai settori istituzionali, </w:t>
      </w:r>
      <w:r w:rsidRPr="002E3EAC">
        <w:rPr>
          <w:rFonts w:ascii="Arial" w:hAnsi="Arial" w:cs="Arial"/>
          <w:iCs/>
          <w:spacing w:val="4"/>
          <w:sz w:val="20"/>
          <w:szCs w:val="20"/>
        </w:rPr>
        <w:t>consente</w:t>
      </w:r>
      <w:r>
        <w:rPr>
          <w:rFonts w:ascii="Arial" w:hAnsi="Arial" w:cs="Arial"/>
          <w:iCs/>
          <w:spacing w:val="4"/>
          <w:sz w:val="20"/>
          <w:szCs w:val="20"/>
        </w:rPr>
        <w:t>ndo</w:t>
      </w:r>
      <w:r w:rsidRPr="002E3EAC">
        <w:rPr>
          <w:rFonts w:ascii="Arial" w:hAnsi="Arial" w:cs="Arial"/>
          <w:iCs/>
          <w:spacing w:val="4"/>
          <w:sz w:val="20"/>
          <w:szCs w:val="20"/>
        </w:rPr>
        <w:t xml:space="preserve"> di quantificare anche gli effetti macroeconomici di misure rivolte a incrementare gli investimenti pubblici in </w:t>
      </w:r>
      <w:r w:rsidR="000F0A11">
        <w:rPr>
          <w:rFonts w:ascii="Arial" w:hAnsi="Arial" w:cs="Arial"/>
          <w:iCs/>
          <w:spacing w:val="4"/>
          <w:sz w:val="20"/>
          <w:szCs w:val="20"/>
        </w:rPr>
        <w:t>R&amp;S</w:t>
      </w:r>
      <w:r>
        <w:rPr>
          <w:rStyle w:val="Rimandonotaapidipagina"/>
          <w:rFonts w:ascii="Arial" w:hAnsi="Arial"/>
          <w:iCs/>
          <w:spacing w:val="4"/>
          <w:sz w:val="20"/>
          <w:szCs w:val="20"/>
        </w:rPr>
        <w:footnoteReference w:id="8"/>
      </w:r>
      <w:r w:rsidR="00901E64">
        <w:rPr>
          <w:rFonts w:ascii="Arial" w:hAnsi="Arial" w:cs="Arial"/>
          <w:iCs/>
          <w:spacing w:val="4"/>
          <w:sz w:val="20"/>
          <w:szCs w:val="20"/>
        </w:rPr>
        <w:t>.</w:t>
      </w:r>
    </w:p>
    <w:p w14:paraId="30EB9A47" w14:textId="77777777" w:rsidR="008A2D9A" w:rsidRPr="002E3EAC" w:rsidRDefault="008A2D9A" w:rsidP="008A2D9A">
      <w:pPr>
        <w:spacing w:after="60" w:line="240" w:lineRule="auto"/>
        <w:ind w:left="1814"/>
        <w:jc w:val="both"/>
        <w:rPr>
          <w:rFonts w:ascii="Arial" w:hAnsi="Arial" w:cs="Arial"/>
          <w:iCs/>
          <w:spacing w:val="4"/>
          <w:sz w:val="20"/>
          <w:szCs w:val="20"/>
        </w:rPr>
      </w:pPr>
      <w:r w:rsidRPr="002E3EAC">
        <w:rPr>
          <w:rFonts w:ascii="Arial" w:hAnsi="Arial" w:cs="Arial"/>
          <w:iCs/>
          <w:spacing w:val="4"/>
          <w:sz w:val="20"/>
          <w:szCs w:val="20"/>
        </w:rPr>
        <w:t xml:space="preserve">In questo caso i canali di trasmissione </w:t>
      </w:r>
      <w:r>
        <w:rPr>
          <w:rFonts w:ascii="Arial" w:hAnsi="Arial" w:cs="Arial"/>
          <w:iCs/>
          <w:spacing w:val="4"/>
          <w:sz w:val="20"/>
          <w:szCs w:val="20"/>
        </w:rPr>
        <w:t xml:space="preserve">modellati considererebbero l’aumento di spesa in R&amp;S come uno stimolo per il miglioramento degli investimenti privati in </w:t>
      </w:r>
      <w:r w:rsidRPr="002E3EAC">
        <w:rPr>
          <w:rFonts w:ascii="Arial" w:hAnsi="Arial" w:cs="Arial"/>
          <w:iCs/>
          <w:spacing w:val="4"/>
          <w:sz w:val="20"/>
          <w:szCs w:val="20"/>
        </w:rPr>
        <w:t xml:space="preserve">software e </w:t>
      </w:r>
      <w:r>
        <w:rPr>
          <w:rFonts w:ascii="Arial" w:hAnsi="Arial" w:cs="Arial"/>
          <w:iCs/>
          <w:spacing w:val="4"/>
          <w:sz w:val="20"/>
          <w:szCs w:val="20"/>
        </w:rPr>
        <w:t>R&amp;S. Inoltre l’aumento di spesa pubblica avrebbe un impatto positivo sullo stock di capitale con un impatto anche dal lato dell’offerta</w:t>
      </w:r>
      <w:r w:rsidRPr="002E3EAC">
        <w:rPr>
          <w:rFonts w:ascii="Arial" w:hAnsi="Arial" w:cs="Arial"/>
          <w:iCs/>
          <w:spacing w:val="4"/>
          <w:sz w:val="20"/>
          <w:szCs w:val="20"/>
        </w:rPr>
        <w:t xml:space="preserve">. </w:t>
      </w:r>
    </w:p>
    <w:p w14:paraId="33D01E8C" w14:textId="77777777" w:rsidR="00303A5C" w:rsidRDefault="00303A5C" w:rsidP="00303A5C">
      <w:pPr>
        <w:spacing w:after="120" w:line="240" w:lineRule="auto"/>
        <w:ind w:left="1814"/>
        <w:jc w:val="both"/>
        <w:rPr>
          <w:rFonts w:ascii="Arial" w:hAnsi="Arial" w:cs="Arial"/>
          <w:iCs/>
          <w:spacing w:val="4"/>
          <w:sz w:val="20"/>
          <w:szCs w:val="20"/>
        </w:rPr>
      </w:pPr>
    </w:p>
    <w:p w14:paraId="331AF4B6" w14:textId="6C507BEB" w:rsidR="00EF2BA6" w:rsidRPr="008A2D9A" w:rsidRDefault="00303A5C" w:rsidP="00EF2BA6">
      <w:pPr>
        <w:spacing w:after="40" w:line="240" w:lineRule="auto"/>
        <w:ind w:left="1814"/>
        <w:jc w:val="both"/>
        <w:rPr>
          <w:rFonts w:ascii="Arial" w:hAnsi="Arial" w:cs="Arial"/>
          <w:iCs/>
          <w:sz w:val="20"/>
          <w:szCs w:val="20"/>
        </w:rPr>
      </w:pPr>
      <w:r w:rsidRPr="008A2D9A">
        <w:rPr>
          <w:rFonts w:ascii="Arial Narrow" w:hAnsi="Arial Narrow" w:cs="Arial"/>
          <w:b/>
          <w:iCs/>
          <w:caps/>
          <w:sz w:val="20"/>
          <w:szCs w:val="20"/>
        </w:rPr>
        <w:t xml:space="preserve">FIGURA 4. </w:t>
      </w:r>
      <w:r w:rsidR="008A2D9A" w:rsidRPr="008A2D9A">
        <w:rPr>
          <w:rFonts w:ascii="Arial Narrow" w:hAnsi="Arial Narrow" w:cs="Arial"/>
          <w:b/>
          <w:iCs/>
          <w:caps/>
          <w:sz w:val="20"/>
          <w:szCs w:val="20"/>
        </w:rPr>
        <w:t xml:space="preserve"> </w:t>
      </w:r>
      <w:r w:rsidRPr="008A2D9A">
        <w:rPr>
          <w:rFonts w:ascii="Arial Narrow" w:hAnsi="Arial Narrow" w:cs="Arial"/>
          <w:b/>
          <w:iCs/>
          <w:caps/>
          <w:sz w:val="20"/>
          <w:szCs w:val="20"/>
        </w:rPr>
        <w:t>INVESTIMENTI IN PRODOTTI DELLA PROPRIETÀ INTELLETTUALE NEI PAESI EUROPEI</w:t>
      </w:r>
    </w:p>
    <w:p w14:paraId="042C29FC" w14:textId="542B0411" w:rsidR="00303A5C" w:rsidRPr="008A2D9A" w:rsidRDefault="00EF2BA6" w:rsidP="008A2D9A">
      <w:pPr>
        <w:spacing w:after="40" w:line="240" w:lineRule="auto"/>
        <w:ind w:left="1814"/>
        <w:jc w:val="both"/>
        <w:rPr>
          <w:rFonts w:ascii="Arial Narrow" w:hAnsi="Arial Narrow" w:cs="Arial"/>
          <w:iCs/>
          <w:sz w:val="19"/>
          <w:szCs w:val="19"/>
        </w:rPr>
      </w:pPr>
      <w:r w:rsidRPr="008A2D9A">
        <w:rPr>
          <w:rFonts w:ascii="Arial Narrow" w:hAnsi="Arial Narrow" w:cs="Arial"/>
          <w:iCs/>
          <w:sz w:val="19"/>
          <w:szCs w:val="19"/>
        </w:rPr>
        <w:t>(</w:t>
      </w:r>
      <w:r w:rsidR="00303A5C" w:rsidRPr="008A2D9A">
        <w:rPr>
          <w:rFonts w:ascii="Arial Narrow" w:hAnsi="Arial Narrow" w:cs="Arial"/>
          <w:iCs/>
          <w:sz w:val="19"/>
          <w:szCs w:val="19"/>
        </w:rPr>
        <w:t>Anni 2008-2015, numeri indice 2008=100, valori concatenati</w:t>
      </w:r>
      <w:r w:rsidRPr="008A2D9A">
        <w:rPr>
          <w:rFonts w:ascii="Arial Narrow" w:hAnsi="Arial Narrow" w:cs="Arial"/>
          <w:iCs/>
          <w:sz w:val="19"/>
          <w:szCs w:val="19"/>
        </w:rPr>
        <w:t>)</w:t>
      </w:r>
    </w:p>
    <w:p w14:paraId="2D535E92" w14:textId="65A9434B" w:rsidR="00303A5C" w:rsidRDefault="008A2D9A" w:rsidP="00303A5C">
      <w:pPr>
        <w:spacing w:after="120" w:line="240" w:lineRule="auto"/>
        <w:ind w:left="1814"/>
        <w:jc w:val="both"/>
        <w:rPr>
          <w:rFonts w:ascii="Arial" w:hAnsi="Arial" w:cs="Arial"/>
          <w:iCs/>
          <w:spacing w:val="4"/>
          <w:sz w:val="20"/>
          <w:szCs w:val="20"/>
        </w:rPr>
      </w:pPr>
      <w:r>
        <w:rPr>
          <w:noProof/>
          <w:lang w:eastAsia="it-IT"/>
        </w:rPr>
        <w:drawing>
          <wp:inline distT="0" distB="0" distL="0" distR="0" wp14:anchorId="2987877D" wp14:editId="11B5F703">
            <wp:extent cx="5400675" cy="2371725"/>
            <wp:effectExtent l="0" t="0" r="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D205AA" w14:textId="41E81EF2" w:rsidR="008A2D9A" w:rsidRDefault="008A2D9A" w:rsidP="008A2D9A">
      <w:pPr>
        <w:pStyle w:val="054tabella-figuranote"/>
      </w:pPr>
      <w:r>
        <w:t>Fonte: Istat</w:t>
      </w:r>
    </w:p>
    <w:p w14:paraId="00F8136B" w14:textId="77777777" w:rsidR="008A2D9A" w:rsidRDefault="008A2D9A" w:rsidP="00303A5C">
      <w:pPr>
        <w:spacing w:after="120" w:line="240" w:lineRule="auto"/>
        <w:ind w:left="1814"/>
        <w:jc w:val="both"/>
        <w:rPr>
          <w:rFonts w:ascii="Arial" w:hAnsi="Arial" w:cs="Arial"/>
          <w:iCs/>
          <w:spacing w:val="4"/>
          <w:sz w:val="20"/>
          <w:szCs w:val="20"/>
        </w:rPr>
      </w:pPr>
    </w:p>
    <w:p w14:paraId="60C35202" w14:textId="1DB87196" w:rsidR="00DA6161" w:rsidRDefault="00303A5C" w:rsidP="00DA6161">
      <w:pPr>
        <w:pStyle w:val="01testo"/>
      </w:pPr>
      <w:r w:rsidRPr="002E3EAC">
        <w:t xml:space="preserve">Ipotizzando quindi un aumento degli investimenti pubblici in </w:t>
      </w:r>
      <w:r w:rsidR="000F0A11">
        <w:t>R&amp;S</w:t>
      </w:r>
      <w:r w:rsidRPr="002E3EAC">
        <w:t>, pari a 1 miliardo di euro, il modello MeMo-</w:t>
      </w:r>
      <w:r>
        <w:t>I</w:t>
      </w:r>
      <w:r w:rsidRPr="002E3EAC">
        <w:t>t evidenzia un effetto permanente sul totale degli investimenti (1% nel primo anno e tassi lievemente superiori negli anni successivi), sul Pil (+0,1% nel primo anno e +0,2% negli anni successivi rispetto allo scenario di base) e, in misura limitata, sul mercato del lavoro.</w:t>
      </w:r>
      <w:r w:rsidR="00DA6161">
        <w:t xml:space="preserve"> </w:t>
      </w:r>
    </w:p>
    <w:p w14:paraId="4CCB2FF8" w14:textId="5ADEFDFE" w:rsidR="00DA6161" w:rsidRDefault="00596DCE" w:rsidP="00901E64">
      <w:pPr>
        <w:pStyle w:val="015elencoquadretto"/>
        <w:spacing w:after="60"/>
        <w:ind w:left="1814"/>
      </w:pPr>
      <w:r>
        <w:t>Infine a</w:t>
      </w:r>
      <w:r w:rsidR="00303A5C" w:rsidRPr="00DA6161">
        <w:t>ll’interno</w:t>
      </w:r>
      <w:r w:rsidR="00303A5C">
        <w:t xml:space="preserve"> </w:t>
      </w:r>
      <w:r w:rsidR="00DA6161">
        <w:t>del modello MeMo-It la funzione di consumo è espressa come funzione del reddito disponibile, della ricchezza (reale e finanziaria) e del tasso di interesse</w:t>
      </w:r>
      <w:r w:rsidR="00FF79E1">
        <w:rPr>
          <w:rStyle w:val="Rimandonotaapidipagina"/>
          <w:iCs w:val="0"/>
          <w:spacing w:val="4"/>
        </w:rPr>
        <w:footnoteReference w:id="9"/>
      </w:r>
      <w:r w:rsidR="00DA6161">
        <w:t>. Questa impostazione implica una ipotesi di omogeneità tra le famiglie ed è quindi non idonea a rappresentare eventuali eterogeneità negli andamenti dei comportamenti di consumo delle famiglie appartenenti a diverse classi di reddito. L’attenzione agli aspetti distributivi è ormai largamente presente nel dibattito ma</w:t>
      </w:r>
      <w:r w:rsidR="00FF79E1">
        <w:t>croeconomico, in parte collegata</w:t>
      </w:r>
      <w:r w:rsidR="00DA6161">
        <w:t xml:space="preserve"> alla crescente importanza d</w:t>
      </w:r>
      <w:r w:rsidR="00FF79E1">
        <w:t>e</w:t>
      </w:r>
      <w:r w:rsidR="00DA6161">
        <w:t>i sistemi di misurazione riferiti al benessere e alla sostenibilità</w:t>
      </w:r>
      <w:r w:rsidR="00FF79E1">
        <w:rPr>
          <w:rStyle w:val="Rimandonotaapidipagina"/>
          <w:iCs w:val="0"/>
          <w:spacing w:val="4"/>
        </w:rPr>
        <w:footnoteReference w:id="10"/>
      </w:r>
      <w:r w:rsidR="00DA6161">
        <w:t xml:space="preserve">. </w:t>
      </w:r>
    </w:p>
    <w:p w14:paraId="5C0D48A9" w14:textId="180B9F6A" w:rsidR="00DA6161" w:rsidRDefault="00DA6161" w:rsidP="00901E64">
      <w:pPr>
        <w:pStyle w:val="01testo"/>
        <w:spacing w:after="60"/>
      </w:pPr>
      <w:r>
        <w:t xml:space="preserve">Questi aspetti assumono una importanza crescente in questa fase economica caratterizzata da possibili effetti selettivi sia sul mercato del lavoro </w:t>
      </w:r>
      <w:r w:rsidR="00596DCE">
        <w:t>sia</w:t>
      </w:r>
      <w:r>
        <w:t xml:space="preserve"> sulla distribuzione dei redditi. Per fornire una prima indicazione di come l’aumento della disuguaglianza possa interagire con l’evoluzione dei consumi delle famiglie è stata considerata una nuova equazione del consumo contenente un indice di disuguaglianza del reddito. Tra le diverse misure del reddito, per la simulazione presentata</w:t>
      </w:r>
      <w:r w:rsidR="00FF79E1">
        <w:t>,</w:t>
      </w:r>
      <w:r>
        <w:t xml:space="preserve"> è stata considerato il rapporto tra il reddito appartenente al 90 per cento della popolazione con i redditi più alti e quello appartenente al 10 per cento della popolazione con i redditi più bassi (p90p10).</w:t>
      </w:r>
    </w:p>
    <w:p w14:paraId="3561704A" w14:textId="1C0A4400" w:rsidR="00DA6161" w:rsidRPr="005F2269" w:rsidRDefault="00DA6161" w:rsidP="00901E64">
      <w:pPr>
        <w:pStyle w:val="01testo"/>
        <w:spacing w:after="60"/>
        <w:rPr>
          <w:spacing w:val="2"/>
        </w:rPr>
      </w:pPr>
      <w:r w:rsidRPr="005F2269">
        <w:rPr>
          <w:spacing w:val="2"/>
        </w:rPr>
        <w:t>L’inserimento del rapporto p90p10 all’interno della funzione del consumo di MeMo-It produce un miglioramento delle stime nell’intervallo di tempo considerato nonché dell’abilità previsiva del</w:t>
      </w:r>
      <w:r w:rsidR="00075511" w:rsidRPr="005F2269">
        <w:rPr>
          <w:spacing w:val="2"/>
        </w:rPr>
        <w:t>la</w:t>
      </w:r>
      <w:r w:rsidRPr="005F2269">
        <w:rPr>
          <w:spacing w:val="2"/>
        </w:rPr>
        <w:t xml:space="preserve"> </w:t>
      </w:r>
      <w:r w:rsidR="00075511" w:rsidRPr="005F2269">
        <w:rPr>
          <w:spacing w:val="2"/>
        </w:rPr>
        <w:t>funzione</w:t>
      </w:r>
      <w:r w:rsidRPr="005F2269">
        <w:rPr>
          <w:spacing w:val="2"/>
        </w:rPr>
        <w:t xml:space="preserve"> misurata attraverso i tradizionali indicatori di performance (MAE, MAPE, RMSE)</w:t>
      </w:r>
      <w:r w:rsidR="00FF79E1" w:rsidRPr="005F2269">
        <w:rPr>
          <w:rStyle w:val="Rimandonotaapidipagina"/>
          <w:iCs w:val="0"/>
          <w:spacing w:val="2"/>
          <w:lang w:val="en-GB"/>
        </w:rPr>
        <w:footnoteReference w:id="11"/>
      </w:r>
      <w:r w:rsidR="002E5183" w:rsidRPr="005F2269">
        <w:rPr>
          <w:spacing w:val="2"/>
        </w:rPr>
        <w:t>.</w:t>
      </w:r>
      <w:r w:rsidRPr="005F2269">
        <w:rPr>
          <w:spacing w:val="2"/>
        </w:rPr>
        <w:t xml:space="preserve"> In particolare </w:t>
      </w:r>
      <w:r w:rsidR="00075511" w:rsidRPr="005F2269">
        <w:rPr>
          <w:spacing w:val="2"/>
        </w:rPr>
        <w:t>la riduzione</w:t>
      </w:r>
      <w:r w:rsidRPr="005F2269">
        <w:rPr>
          <w:spacing w:val="2"/>
        </w:rPr>
        <w:t xml:space="preserve"> della disuguaglianza al tempo t-1 è atteso </w:t>
      </w:r>
      <w:r w:rsidR="00075511" w:rsidRPr="005F2269">
        <w:rPr>
          <w:spacing w:val="2"/>
        </w:rPr>
        <w:t>aumentare</w:t>
      </w:r>
      <w:r w:rsidRPr="005F2269">
        <w:rPr>
          <w:spacing w:val="2"/>
        </w:rPr>
        <w:t xml:space="preserve"> il consumo al tempo t.</w:t>
      </w:r>
    </w:p>
    <w:p w14:paraId="20885404" w14:textId="6822657B" w:rsidR="00303A5C" w:rsidRDefault="00DA6161" w:rsidP="00DA6161">
      <w:pPr>
        <w:pStyle w:val="01testo"/>
      </w:pPr>
      <w:r>
        <w:t xml:space="preserve">Per fornire una prima quantificazione di questi effetti si è considerato </w:t>
      </w:r>
      <w:r w:rsidR="00596DCE">
        <w:t>uno scenario in cui</w:t>
      </w:r>
      <w:r>
        <w:t xml:space="preserve"> </w:t>
      </w:r>
      <w:r w:rsidR="00596DCE">
        <w:t xml:space="preserve">il rapporto </w:t>
      </w:r>
      <w:r>
        <w:t xml:space="preserve">p90p10 </w:t>
      </w:r>
      <w:r w:rsidR="00596DCE">
        <w:t xml:space="preserve">al tempo t-1 si </w:t>
      </w:r>
      <w:r>
        <w:t>ridu</w:t>
      </w:r>
      <w:r w:rsidR="00075511">
        <w:t>ce</w:t>
      </w:r>
      <w:r>
        <w:t xml:space="preserve"> in misura simile a quella </w:t>
      </w:r>
      <w:r w:rsidR="00596DCE">
        <w:t>ipotizzata dal MEF per il rapporto p80p20 a seguito dell’introduzione del Reddito di cittadinanza</w:t>
      </w:r>
      <w:r>
        <w:t>. Rispetto allo scenario base la riduzione della disuguaglianza determinerebbe un ulteriore incremento dei consumi (+0,8 punti percentuali) solo in parte compensato dall’incremento dei prezzi al consumo (+0,1 punti percentuali).</w:t>
      </w:r>
    </w:p>
    <w:p w14:paraId="290BDB45" w14:textId="330C8BC6" w:rsidR="00303A5C" w:rsidRDefault="00303A5C" w:rsidP="00331F11">
      <w:pPr>
        <w:pStyle w:val="015elencoquadretto"/>
        <w:ind w:left="1814"/>
      </w:pPr>
      <w:r w:rsidRPr="00331F11">
        <w:lastRenderedPageBreak/>
        <w:t>Il quadro</w:t>
      </w:r>
      <w:r>
        <w:t xml:space="preserve"> previsivo presenta </w:t>
      </w:r>
      <w:r w:rsidR="00596DCE">
        <w:t xml:space="preserve">complessivamente </w:t>
      </w:r>
      <w:r>
        <w:t xml:space="preserve">diversi rischi al ribasso connessi in parte a un ulteriore proseguimento del deterioramento delle condizioni del commercio internazionale. Questi eventi sono considerati come shock esogeni all’interno del modello macroeconomico e difficilmente manovrabili all’interno delle politiche nazionali. Le simulazioni riportate </w:t>
      </w:r>
      <w:r w:rsidR="008D6FC5">
        <w:t xml:space="preserve">sull’effetto di maggiori investimenti in R&amp;D e </w:t>
      </w:r>
      <w:r>
        <w:t xml:space="preserve">sull’interazione tra andamento della disuguaglianza e consumi potrebbero rappresentare degli elementi </w:t>
      </w:r>
      <w:r w:rsidR="008D6FC5">
        <w:t xml:space="preserve">utili per il supporto a </w:t>
      </w:r>
      <w:r>
        <w:t>consumi e investimenti durante il percorso di recupero dell’attività economica.</w:t>
      </w:r>
    </w:p>
    <w:p w14:paraId="70249196" w14:textId="77777777" w:rsidR="00C122BF" w:rsidRDefault="00C122BF" w:rsidP="00D72111">
      <w:pPr>
        <w:pStyle w:val="01testo"/>
      </w:pPr>
    </w:p>
    <w:p w14:paraId="45F2218D" w14:textId="77777777" w:rsidR="00C122BF" w:rsidRDefault="00C122BF" w:rsidP="00D72111">
      <w:pPr>
        <w:pStyle w:val="01testo"/>
      </w:pPr>
    </w:p>
    <w:p w14:paraId="74FDF403" w14:textId="1032655E" w:rsidR="00C122BF" w:rsidRDefault="00C122BF" w:rsidP="00D72111">
      <w:pPr>
        <w:pStyle w:val="01testo"/>
      </w:pPr>
    </w:p>
    <w:p w14:paraId="78677D3E" w14:textId="0923640C" w:rsidR="002E5183" w:rsidRDefault="002E5183" w:rsidP="00D72111">
      <w:pPr>
        <w:pStyle w:val="01testo"/>
      </w:pPr>
    </w:p>
    <w:p w14:paraId="2DC1C8BF" w14:textId="0A1CCD51" w:rsidR="002E5183" w:rsidRDefault="002E5183" w:rsidP="00D72111">
      <w:pPr>
        <w:pStyle w:val="01testo"/>
      </w:pPr>
    </w:p>
    <w:p w14:paraId="0DFD518E" w14:textId="0C146923" w:rsidR="002E5183" w:rsidRDefault="002E5183" w:rsidP="00D72111">
      <w:pPr>
        <w:pStyle w:val="01testo"/>
      </w:pPr>
    </w:p>
    <w:p w14:paraId="06121A91" w14:textId="71E3C771" w:rsidR="002E5183" w:rsidRDefault="002E5183" w:rsidP="00D72111">
      <w:pPr>
        <w:pStyle w:val="01testo"/>
      </w:pPr>
    </w:p>
    <w:p w14:paraId="4A6727F8" w14:textId="33CF8FCC" w:rsidR="002E5183" w:rsidRDefault="002E5183" w:rsidP="00D72111">
      <w:pPr>
        <w:pStyle w:val="01testo"/>
      </w:pPr>
    </w:p>
    <w:p w14:paraId="3CCC5DFA" w14:textId="3332C200" w:rsidR="002E5183" w:rsidRDefault="002E5183" w:rsidP="00D72111">
      <w:pPr>
        <w:pStyle w:val="01testo"/>
      </w:pPr>
    </w:p>
    <w:p w14:paraId="3D4943F4" w14:textId="76DDB2AF" w:rsidR="002E5183" w:rsidRDefault="002E5183" w:rsidP="00D72111">
      <w:pPr>
        <w:pStyle w:val="01testo"/>
      </w:pPr>
    </w:p>
    <w:p w14:paraId="321CDDDC" w14:textId="14658CC3" w:rsidR="002E5183" w:rsidRDefault="002E5183" w:rsidP="00D72111">
      <w:pPr>
        <w:pStyle w:val="01testo"/>
      </w:pPr>
    </w:p>
    <w:p w14:paraId="16D5E0AC" w14:textId="1059D93A" w:rsidR="002E5183" w:rsidRDefault="002E5183" w:rsidP="00D72111">
      <w:pPr>
        <w:pStyle w:val="01testo"/>
      </w:pPr>
    </w:p>
    <w:p w14:paraId="61EF3F64" w14:textId="4618C9F8" w:rsidR="002E5183" w:rsidRDefault="002E5183" w:rsidP="00D72111">
      <w:pPr>
        <w:pStyle w:val="01testo"/>
      </w:pPr>
    </w:p>
    <w:p w14:paraId="4008F993" w14:textId="076230C7" w:rsidR="002E5183" w:rsidRDefault="002E5183" w:rsidP="00D72111">
      <w:pPr>
        <w:pStyle w:val="01testo"/>
      </w:pPr>
    </w:p>
    <w:p w14:paraId="5CF6062D" w14:textId="7870C9D1" w:rsidR="002E5183" w:rsidRDefault="002E5183" w:rsidP="00D72111">
      <w:pPr>
        <w:pStyle w:val="01testo"/>
      </w:pPr>
    </w:p>
    <w:p w14:paraId="19FB4AB1" w14:textId="3728713C" w:rsidR="002E5183" w:rsidRDefault="002E5183" w:rsidP="00D72111">
      <w:pPr>
        <w:pStyle w:val="01testo"/>
      </w:pPr>
    </w:p>
    <w:p w14:paraId="258CEA08" w14:textId="71F5DE3D" w:rsidR="002E5183" w:rsidRDefault="002E5183" w:rsidP="00D72111">
      <w:pPr>
        <w:pStyle w:val="01testo"/>
      </w:pPr>
    </w:p>
    <w:p w14:paraId="005BB862" w14:textId="3FF27FB5" w:rsidR="002E5183" w:rsidRDefault="002E5183" w:rsidP="00D72111">
      <w:pPr>
        <w:pStyle w:val="01testo"/>
      </w:pPr>
    </w:p>
    <w:p w14:paraId="551A2249" w14:textId="508EC408" w:rsidR="002E5183" w:rsidRDefault="002E5183" w:rsidP="00D72111">
      <w:pPr>
        <w:pStyle w:val="01testo"/>
      </w:pPr>
    </w:p>
    <w:p w14:paraId="100338A8" w14:textId="3252BD52" w:rsidR="002E5183" w:rsidRDefault="002E5183" w:rsidP="00D72111">
      <w:pPr>
        <w:pStyle w:val="01testo"/>
      </w:pPr>
    </w:p>
    <w:p w14:paraId="2B35C330" w14:textId="1E263E1D" w:rsidR="002E5183" w:rsidRDefault="002E5183" w:rsidP="00D72111">
      <w:pPr>
        <w:pStyle w:val="01testo"/>
      </w:pPr>
    </w:p>
    <w:p w14:paraId="3C299B9A" w14:textId="77777777" w:rsidR="002E5183" w:rsidRDefault="002E5183" w:rsidP="00D72111">
      <w:pPr>
        <w:pStyle w:val="01testo"/>
      </w:pPr>
    </w:p>
    <w:p w14:paraId="4D871678" w14:textId="77777777" w:rsidR="00C122BF" w:rsidRDefault="00C122BF" w:rsidP="00D72111">
      <w:pPr>
        <w:pStyle w:val="01testo"/>
      </w:pPr>
    </w:p>
    <w:p w14:paraId="5275CB57" w14:textId="77777777" w:rsidR="00C122BF" w:rsidRDefault="00C122BF" w:rsidP="00D72111">
      <w:pPr>
        <w:pStyle w:val="01testo"/>
      </w:pPr>
    </w:p>
    <w:p w14:paraId="0C06A8F7" w14:textId="77777777" w:rsidR="00C122BF" w:rsidRDefault="00C122BF" w:rsidP="00D72111">
      <w:pPr>
        <w:pStyle w:val="01testo"/>
      </w:pPr>
    </w:p>
    <w:p w14:paraId="768CD5D5" w14:textId="693F17B8" w:rsidR="00C122BF" w:rsidRDefault="00C122BF" w:rsidP="00D72111">
      <w:pPr>
        <w:pStyle w:val="01testo"/>
      </w:pPr>
    </w:p>
    <w:p w14:paraId="347DD5EC" w14:textId="77777777" w:rsidR="002E5183" w:rsidRDefault="002E5183" w:rsidP="00D72111">
      <w:pPr>
        <w:pStyle w:val="01testo"/>
      </w:pPr>
    </w:p>
    <w:p w14:paraId="13F43EDF" w14:textId="0C8A32D5" w:rsidR="00C122BF" w:rsidRDefault="00C122BF" w:rsidP="00D72111">
      <w:pPr>
        <w:pStyle w:val="01testo"/>
      </w:pPr>
    </w:p>
    <w:tbl>
      <w:tblPr>
        <w:tblpPr w:leftFromText="113" w:rightFromText="113" w:vertAnchor="text" w:horzAnchor="margin" w:tblpY="540"/>
        <w:tblW w:w="10206" w:type="dxa"/>
        <w:tblBorders>
          <w:top w:val="single" w:sz="12" w:space="0" w:color="008080"/>
        </w:tblBorders>
        <w:tblCellMar>
          <w:left w:w="57" w:type="dxa"/>
          <w:right w:w="57" w:type="dxa"/>
        </w:tblCellMar>
        <w:tblLook w:val="04A0" w:firstRow="1" w:lastRow="0" w:firstColumn="1" w:lastColumn="0" w:noHBand="0" w:noVBand="1"/>
      </w:tblPr>
      <w:tblGrid>
        <w:gridCol w:w="5103"/>
        <w:gridCol w:w="5103"/>
      </w:tblGrid>
      <w:tr w:rsidR="005156BB" w:rsidRPr="00CA6BBB" w14:paraId="1503FCE0" w14:textId="5952E3B1" w:rsidTr="002E5183">
        <w:trPr>
          <w:trHeight w:val="254"/>
        </w:trPr>
        <w:tc>
          <w:tcPr>
            <w:tcW w:w="5103" w:type="dxa"/>
            <w:shd w:val="clear" w:color="auto" w:fill="auto"/>
            <w:tcMar>
              <w:top w:w="0" w:type="dxa"/>
              <w:left w:w="0" w:type="dxa"/>
              <w:bottom w:w="0" w:type="dxa"/>
              <w:right w:w="0" w:type="dxa"/>
            </w:tcMar>
            <w:vAlign w:val="center"/>
          </w:tcPr>
          <w:p w14:paraId="1C1CB978" w14:textId="77777777" w:rsidR="005156BB" w:rsidRPr="00C122BF" w:rsidRDefault="005156BB" w:rsidP="0060498A">
            <w:pPr>
              <w:pStyle w:val="01testo"/>
              <w:spacing w:after="60"/>
              <w:ind w:left="284" w:right="284"/>
              <w:rPr>
                <w:rFonts w:ascii="Arial Narrow" w:hAnsi="Arial Narrow"/>
                <w:bCs/>
              </w:rPr>
            </w:pPr>
            <w:r w:rsidRPr="00C122BF">
              <w:rPr>
                <w:rFonts w:ascii="Arial Narrow" w:hAnsi="Arial Narrow"/>
                <w:noProof/>
              </w:rPr>
              <w:t>Per chiarimenti tecnici e metodologici:</w:t>
            </w:r>
          </w:p>
        </w:tc>
        <w:tc>
          <w:tcPr>
            <w:tcW w:w="5103" w:type="dxa"/>
          </w:tcPr>
          <w:p w14:paraId="5BF5D138" w14:textId="77777777" w:rsidR="005156BB" w:rsidRPr="00C122BF" w:rsidRDefault="005156BB" w:rsidP="00F952D4">
            <w:pPr>
              <w:pStyle w:val="01testo"/>
              <w:spacing w:after="0"/>
              <w:ind w:left="283" w:right="283"/>
              <w:rPr>
                <w:rFonts w:ascii="Arial Narrow" w:hAnsi="Arial Narrow"/>
                <w:noProof/>
              </w:rPr>
            </w:pPr>
          </w:p>
        </w:tc>
      </w:tr>
      <w:tr w:rsidR="005156BB" w:rsidRPr="00871B2C" w14:paraId="5FE7D3B3" w14:textId="00683BF9" w:rsidTr="002E5183">
        <w:trPr>
          <w:trHeight w:val="170"/>
        </w:trPr>
        <w:tc>
          <w:tcPr>
            <w:tcW w:w="5103" w:type="dxa"/>
            <w:shd w:val="clear" w:color="auto" w:fill="auto"/>
            <w:tcMar>
              <w:top w:w="0" w:type="dxa"/>
              <w:left w:w="0" w:type="dxa"/>
              <w:bottom w:w="57" w:type="dxa"/>
              <w:right w:w="0" w:type="dxa"/>
            </w:tcMar>
            <w:vAlign w:val="center"/>
          </w:tcPr>
          <w:p w14:paraId="5508CD67" w14:textId="08CAFC83" w:rsidR="005156BB" w:rsidRPr="00FF73E6" w:rsidRDefault="005156BB" w:rsidP="00F952D4">
            <w:pPr>
              <w:pStyle w:val="NormaleWeb"/>
              <w:spacing w:before="0" w:beforeAutospacing="0" w:after="0" w:afterAutospacing="0"/>
              <w:ind w:left="283" w:right="283"/>
              <w:rPr>
                <w:rFonts w:ascii="Arial Narrow" w:hAnsi="Arial Narrow" w:cs="Arial"/>
                <w:b/>
                <w:bCs/>
                <w:sz w:val="20"/>
                <w:szCs w:val="20"/>
                <w:lang w:val="de-DE"/>
              </w:rPr>
            </w:pPr>
            <w:r w:rsidRPr="00FF73E6">
              <w:rPr>
                <w:rFonts w:ascii="Arial Narrow" w:hAnsi="Arial Narrow" w:cs="Arial"/>
                <w:b/>
                <w:bCs/>
                <w:sz w:val="20"/>
                <w:szCs w:val="20"/>
                <w:lang w:val="de-DE"/>
              </w:rPr>
              <w:t>Davide Zurlo (</w:t>
            </w:r>
            <w:r w:rsidRPr="00FF73E6">
              <w:rPr>
                <w:rFonts w:ascii="Arial Narrow" w:hAnsi="Arial Narrow" w:cs="Arial"/>
                <w:sz w:val="20"/>
                <w:szCs w:val="20"/>
                <w:lang w:val="de-DE"/>
              </w:rPr>
              <w:t>zurlo@istat.it</w:t>
            </w:r>
            <w:r w:rsidRPr="00FF73E6">
              <w:rPr>
                <w:rFonts w:ascii="Arial Narrow" w:hAnsi="Arial Narrow" w:cs="Arial"/>
                <w:b/>
                <w:bCs/>
                <w:sz w:val="20"/>
                <w:szCs w:val="20"/>
                <w:lang w:val="de-DE"/>
              </w:rPr>
              <w:t>)</w:t>
            </w:r>
          </w:p>
          <w:p w14:paraId="10572C07" w14:textId="77777777" w:rsidR="005156BB" w:rsidRDefault="005156BB" w:rsidP="00C122BF">
            <w:pPr>
              <w:pStyle w:val="01testo"/>
              <w:spacing w:after="0"/>
              <w:ind w:left="284" w:right="284"/>
              <w:rPr>
                <w:rFonts w:ascii="Arial Narrow" w:hAnsi="Arial Narrow"/>
              </w:rPr>
            </w:pPr>
            <w:r w:rsidRPr="00F065FB">
              <w:rPr>
                <w:rFonts w:ascii="Arial Narrow" w:hAnsi="Arial Narrow"/>
              </w:rPr>
              <w:t xml:space="preserve">Servizio per l’analisi dei dati e la ricerca </w:t>
            </w:r>
          </w:p>
          <w:p w14:paraId="4DBCD2D1" w14:textId="328E18B8" w:rsidR="005156BB" w:rsidRPr="00F065FB" w:rsidRDefault="005156BB" w:rsidP="00C122BF">
            <w:pPr>
              <w:pStyle w:val="01testo"/>
              <w:spacing w:after="0"/>
              <w:ind w:left="284" w:right="284"/>
              <w:rPr>
                <w:rFonts w:ascii="Arial Narrow" w:hAnsi="Arial Narrow"/>
              </w:rPr>
            </w:pPr>
            <w:r w:rsidRPr="00F065FB">
              <w:rPr>
                <w:rFonts w:ascii="Arial Narrow" w:hAnsi="Arial Narrow"/>
              </w:rPr>
              <w:t>economica, sociale e ambientale</w:t>
            </w:r>
          </w:p>
          <w:p w14:paraId="267B3688" w14:textId="77777777" w:rsidR="005156BB" w:rsidRPr="00C122BF" w:rsidRDefault="005156BB" w:rsidP="00C122BF">
            <w:pPr>
              <w:pStyle w:val="NormaleWeb"/>
              <w:spacing w:before="0" w:beforeAutospacing="0" w:after="0" w:afterAutospacing="0"/>
              <w:ind w:left="283" w:right="283"/>
              <w:rPr>
                <w:rFonts w:ascii="Arial Narrow" w:hAnsi="Arial Narrow" w:cs="Arial"/>
                <w:bCs/>
                <w:sz w:val="20"/>
                <w:szCs w:val="20"/>
              </w:rPr>
            </w:pPr>
            <w:r w:rsidRPr="00DA6161">
              <w:rPr>
                <w:rFonts w:ascii="Arial Narrow" w:hAnsi="Arial Narrow" w:cs="Arial"/>
                <w:sz w:val="20"/>
                <w:szCs w:val="20"/>
              </w:rPr>
              <w:t>tel. +39.06.4673 7236</w:t>
            </w:r>
          </w:p>
        </w:tc>
        <w:tc>
          <w:tcPr>
            <w:tcW w:w="5103" w:type="dxa"/>
          </w:tcPr>
          <w:p w14:paraId="3F87D607" w14:textId="3DCD79AD" w:rsidR="005156BB" w:rsidRDefault="005156BB" w:rsidP="00F952D4">
            <w:pPr>
              <w:pStyle w:val="NormaleWeb"/>
              <w:spacing w:before="0" w:beforeAutospacing="0" w:after="0" w:afterAutospacing="0"/>
              <w:ind w:left="283" w:right="283"/>
              <w:rPr>
                <w:rFonts w:ascii="Arial Narrow" w:hAnsi="Arial Narrow" w:cs="Arial"/>
                <w:bCs/>
                <w:sz w:val="20"/>
                <w:szCs w:val="20"/>
              </w:rPr>
            </w:pPr>
            <w:r>
              <w:rPr>
                <w:rFonts w:ascii="Arial Narrow" w:hAnsi="Arial Narrow" w:cs="Arial"/>
                <w:b/>
                <w:bCs/>
                <w:sz w:val="20"/>
                <w:szCs w:val="20"/>
              </w:rPr>
              <w:t xml:space="preserve">Fabio Bacchini </w:t>
            </w:r>
            <w:r w:rsidRPr="005156BB">
              <w:rPr>
                <w:rFonts w:ascii="Arial Narrow" w:hAnsi="Arial Narrow" w:cs="Arial"/>
                <w:bCs/>
                <w:sz w:val="20"/>
                <w:szCs w:val="20"/>
              </w:rPr>
              <w:t>(bacchini@istat.it)</w:t>
            </w:r>
          </w:p>
          <w:p w14:paraId="0EB66642" w14:textId="77777777" w:rsidR="005156BB" w:rsidRDefault="005156BB" w:rsidP="005156BB">
            <w:pPr>
              <w:pStyle w:val="01testo"/>
              <w:spacing w:after="0"/>
              <w:ind w:left="284" w:right="284"/>
              <w:rPr>
                <w:rFonts w:ascii="Arial Narrow" w:hAnsi="Arial Narrow"/>
              </w:rPr>
            </w:pPr>
            <w:r w:rsidRPr="00F065FB">
              <w:rPr>
                <w:rFonts w:ascii="Arial Narrow" w:hAnsi="Arial Narrow"/>
              </w:rPr>
              <w:t xml:space="preserve">Servizio per l’analisi dei dati e la ricerca </w:t>
            </w:r>
          </w:p>
          <w:p w14:paraId="067D99D8" w14:textId="77777777" w:rsidR="005156BB" w:rsidRPr="00F065FB" w:rsidRDefault="005156BB" w:rsidP="005156BB">
            <w:pPr>
              <w:pStyle w:val="01testo"/>
              <w:spacing w:after="0"/>
              <w:ind w:left="284" w:right="284"/>
              <w:rPr>
                <w:rFonts w:ascii="Arial Narrow" w:hAnsi="Arial Narrow"/>
              </w:rPr>
            </w:pPr>
            <w:r w:rsidRPr="00F065FB">
              <w:rPr>
                <w:rFonts w:ascii="Arial Narrow" w:hAnsi="Arial Narrow"/>
              </w:rPr>
              <w:t>economica, sociale e ambientale</w:t>
            </w:r>
          </w:p>
          <w:p w14:paraId="39D15EC7" w14:textId="0FED25CE" w:rsidR="005156BB" w:rsidRPr="005156BB" w:rsidRDefault="005156BB" w:rsidP="005156BB">
            <w:pPr>
              <w:pStyle w:val="NormaleWeb"/>
              <w:spacing w:before="0" w:beforeAutospacing="0" w:after="0" w:afterAutospacing="0"/>
              <w:ind w:left="283" w:right="283"/>
              <w:rPr>
                <w:rFonts w:ascii="Arial Narrow" w:hAnsi="Arial Narrow" w:cs="Arial"/>
                <w:b/>
                <w:bCs/>
                <w:sz w:val="20"/>
                <w:szCs w:val="20"/>
              </w:rPr>
            </w:pPr>
            <w:r w:rsidRPr="00DA6161">
              <w:rPr>
                <w:rFonts w:ascii="Arial Narrow" w:hAnsi="Arial Narrow" w:cs="Arial"/>
                <w:sz w:val="20"/>
                <w:szCs w:val="20"/>
              </w:rPr>
              <w:t>tel. +39.06.4673 7264</w:t>
            </w:r>
          </w:p>
        </w:tc>
      </w:tr>
    </w:tbl>
    <w:p w14:paraId="5BB16121" w14:textId="77777777" w:rsidR="00632447" w:rsidRPr="00F30A12" w:rsidRDefault="00632447">
      <w:pPr>
        <w:spacing w:after="0" w:line="240" w:lineRule="auto"/>
        <w:rPr>
          <w:rFonts w:ascii="Arial" w:hAnsi="Arial" w:cs="Arial"/>
          <w:bCs/>
          <w:iCs/>
          <w:color w:val="000000"/>
          <w:spacing w:val="-2"/>
          <w:sz w:val="20"/>
          <w:szCs w:val="20"/>
        </w:rPr>
      </w:pPr>
      <w:r w:rsidRPr="00F30A12">
        <w:rPr>
          <w:rFonts w:ascii="Arial" w:hAnsi="Arial" w:cs="Arial"/>
          <w:bCs/>
          <w:color w:val="000000"/>
          <w:spacing w:val="-2"/>
          <w:sz w:val="20"/>
          <w:szCs w:val="20"/>
        </w:rPr>
        <w:br w:type="page"/>
      </w:r>
    </w:p>
    <w:p w14:paraId="3EE8066E" w14:textId="77777777" w:rsidR="0062585E" w:rsidRPr="00345D61" w:rsidRDefault="0062585E" w:rsidP="00080FD3">
      <w:pPr>
        <w:pStyle w:val="01testo"/>
      </w:pPr>
    </w:p>
    <w:p w14:paraId="664B82D3" w14:textId="77777777" w:rsidR="00632447" w:rsidRPr="00E63021" w:rsidRDefault="00632447" w:rsidP="00E63021">
      <w:pPr>
        <w:pStyle w:val="02titolone"/>
      </w:pPr>
      <w:r w:rsidRPr="00E63021">
        <w:t>Il Modello Macroeconometrico dell’ISTAT</w:t>
      </w:r>
    </w:p>
    <w:p w14:paraId="79E6C2D3" w14:textId="77777777" w:rsidR="00632447" w:rsidRPr="00E63021" w:rsidRDefault="00632447" w:rsidP="00E63021">
      <w:pPr>
        <w:pStyle w:val="02bissottotitolone"/>
      </w:pPr>
      <w:r w:rsidRPr="00E63021">
        <w:t>Nota Metodologica</w:t>
      </w:r>
    </w:p>
    <w:p w14:paraId="24CD0141" w14:textId="77777777" w:rsidR="00632447" w:rsidRPr="002A40B7" w:rsidRDefault="00632447" w:rsidP="002A40B7">
      <w:pPr>
        <w:pStyle w:val="012titoloparagrafo"/>
      </w:pPr>
      <w:r w:rsidRPr="002A40B7">
        <w:t>Introduzione</w:t>
      </w:r>
    </w:p>
    <w:p w14:paraId="67B5E3F7" w14:textId="77777777" w:rsidR="00632447" w:rsidRPr="00345D61" w:rsidRDefault="00632447" w:rsidP="00F97C73">
      <w:pPr>
        <w:pStyle w:val="01testo"/>
      </w:pPr>
      <w:r w:rsidRPr="00345D61">
        <w:t xml:space="preserve">Questa nota descrive le caratteristiche principali del </w:t>
      </w:r>
      <w:r w:rsidRPr="00345D61">
        <w:rPr>
          <w:rFonts w:eastAsia="Calibri"/>
        </w:rPr>
        <w:t>modello di previsione economica sviluppato dall’Istat: Macro Econometric Model for Italy (MEMo-It)</w:t>
      </w:r>
      <w:r w:rsidRPr="00345D61">
        <w:rPr>
          <w:rStyle w:val="Rimandonotaapidipagina"/>
          <w:rFonts w:eastAsia="Calibri" w:cs="Arial"/>
        </w:rPr>
        <w:footnoteReference w:id="12"/>
      </w:r>
      <w:r w:rsidR="00D91B8E">
        <w:rPr>
          <w:rFonts w:eastAsia="Calibri"/>
        </w:rPr>
        <w:t>.</w:t>
      </w:r>
      <w:r w:rsidRPr="00345D61">
        <w:rPr>
          <w:rFonts w:eastAsia="Calibri"/>
        </w:rPr>
        <w:t xml:space="preserve"> Il modello contiene 6</w:t>
      </w:r>
      <w:r w:rsidR="00D91B8E">
        <w:rPr>
          <w:rFonts w:eastAsia="Calibri"/>
        </w:rPr>
        <w:t>6</w:t>
      </w:r>
      <w:r w:rsidRPr="00345D61">
        <w:rPr>
          <w:rFonts w:eastAsia="Calibri"/>
        </w:rPr>
        <w:t xml:space="preserve"> equazioni stocastiche e </w:t>
      </w:r>
      <w:r w:rsidR="00D91B8E">
        <w:rPr>
          <w:rFonts w:eastAsia="Calibri"/>
        </w:rPr>
        <w:t>91</w:t>
      </w:r>
      <w:r w:rsidRPr="00345D61">
        <w:rPr>
          <w:rFonts w:eastAsia="Calibri"/>
        </w:rPr>
        <w:t xml:space="preserve"> identità contabili con frequenza annuale e fornisce una rappresentazione del sistema economico italiano mediante la specificazione di equazioni di comportamento per gli operatori del sistema economico (Famiglie, Imprese, Amministrazioni Pubbliche e Resto del mondo). Le serie storiche delle variabili utilizzate dal modello sono riferite al periodo 1970-201</w:t>
      </w:r>
      <w:r w:rsidR="0051724C">
        <w:rPr>
          <w:rFonts w:eastAsia="Calibri"/>
        </w:rPr>
        <w:t>8</w:t>
      </w:r>
      <w:r w:rsidRPr="00345D61">
        <w:rPr>
          <w:rFonts w:eastAsia="Calibri"/>
        </w:rPr>
        <w:t xml:space="preserve">. Laddove i dati delle serie non erano presenti si è proceduto a ricostruzioni ad hoc dei dati mancanti. </w:t>
      </w:r>
    </w:p>
    <w:p w14:paraId="47F77444" w14:textId="77777777" w:rsidR="00632447" w:rsidRPr="00345D61" w:rsidRDefault="00632447" w:rsidP="00632447">
      <w:pPr>
        <w:pStyle w:val="01testo"/>
        <w:rPr>
          <w:rFonts w:eastAsia="Calibri"/>
        </w:rPr>
      </w:pPr>
      <w:r w:rsidRPr="00345D61">
        <w:rPr>
          <w:rFonts w:eastAsia="Calibri"/>
        </w:rPr>
        <w:t>L’approccio teorico utilizzato nella costruzione del modello è di tipo neo-keynesiano. Nel modello, la dinamica della crescita economica nel breve periodo è trainata da fattori di domanda, mentre nel lungo periodo il sistema tende a condizioni di equilibrio rappresentate dal prodotto potenziale. L'interazione fra domanda e offerta aggregate avviene mediante il sistema dei prezzi che reagiscono a scostamenti del tasso di disoccupazione effettivo rispetto al tasso di disoccupazione naturale (NAIRU) e a squilibri fra prodotto effettivo e potenziale (output gap). Il modello si articola in blocchi, in cui è stata definita a priori la direzione di causalità nelle equazioni di comportamento e l’intelaiatura delle identità contabili.</w:t>
      </w:r>
      <w:r w:rsidRPr="00345D61">
        <w:rPr>
          <w:rStyle w:val="Rimandonotaapidipagina"/>
          <w:rFonts w:eastAsia="Calibri" w:cs="Arial"/>
        </w:rPr>
        <w:footnoteReference w:id="13"/>
      </w:r>
      <w:r w:rsidRPr="00345D61">
        <w:rPr>
          <w:rFonts w:eastAsia="Calibri"/>
        </w:rPr>
        <w:t xml:space="preserve"> </w:t>
      </w:r>
    </w:p>
    <w:p w14:paraId="7B342001" w14:textId="77777777" w:rsidR="00632447" w:rsidRPr="00345D61" w:rsidRDefault="00632447" w:rsidP="00632447">
      <w:pPr>
        <w:pStyle w:val="01testo"/>
        <w:rPr>
          <w:rFonts w:eastAsia="Calibri"/>
        </w:rPr>
      </w:pPr>
      <w:r w:rsidRPr="00345D61">
        <w:rPr>
          <w:rFonts w:eastAsia="Calibri"/>
        </w:rPr>
        <w:t>Le fasi di specificazione e stima del modello seguono tre momenti successivi: (a) analisi per singole equazioni o blocchi di esse delle proprietà di integrazione e cointegrazione delle variabili e valutazione dell'esogeneità debole per blocchi di variabili rilevanti; (b) stime uniequazionali a due stadi delle variabili del modello per dare conto di endogeneità e di errori di misura delle variabili esplicative; (c) unione delle singole equazioni e blocchi del modello con stima a tre stadi dei loro parametri per tenere conto della covarianza fra termini di disturbo appartenenti a diverse equazioni stocastiche.</w:t>
      </w:r>
    </w:p>
    <w:p w14:paraId="19BCB543" w14:textId="77777777" w:rsidR="00632447" w:rsidRPr="00345D61" w:rsidRDefault="00632447" w:rsidP="00632447">
      <w:pPr>
        <w:pStyle w:val="01testo"/>
        <w:rPr>
          <w:rFonts w:eastAsia="Calibri"/>
        </w:rPr>
      </w:pPr>
      <w:r w:rsidRPr="00345D61">
        <w:rPr>
          <w:rFonts w:eastAsia="Calibri"/>
        </w:rPr>
        <w:t>Le proprietà dinamiche del modello sono valutate a livello di sistema mediante una sequenza prefissata di esercizi di shock ad alcune variabili esogene rispetto alla soluzione di base. Tali esercizi sono svolti mediante tecniche di simulazione deterministica e stocastica. Gli errori standard ottenuti nella fase di stima a tre stadi del modello completo generano la soluzione stocastica del modello che permette di quantificare l’incertezza della previsione.</w:t>
      </w:r>
    </w:p>
    <w:p w14:paraId="77827838" w14:textId="77777777" w:rsidR="00632447" w:rsidRPr="00345D61" w:rsidRDefault="00632447" w:rsidP="00632447">
      <w:pPr>
        <w:pStyle w:val="01testo"/>
        <w:rPr>
          <w:rFonts w:eastAsia="Calibri"/>
        </w:rPr>
      </w:pPr>
      <w:r w:rsidRPr="00345D61">
        <w:rPr>
          <w:rFonts w:eastAsia="Calibri"/>
        </w:rPr>
        <w:t xml:space="preserve">Il modello nella sua versione attuale propone una descrizione aggregata del sistema economico. Le linee di ricerca per lo sviluppo del modello si concentreranno in futuro sia sulla esplicita rappresentazione del comportamento dei diversi settori economici, sia sulla estensione ai movimenti economici infrannuali. </w:t>
      </w:r>
    </w:p>
    <w:p w14:paraId="634AF4FA" w14:textId="77777777" w:rsidR="00632447" w:rsidRPr="00345D61" w:rsidRDefault="00632447" w:rsidP="00632447">
      <w:pPr>
        <w:pStyle w:val="01testo"/>
        <w:rPr>
          <w:rFonts w:eastAsia="Calibri"/>
        </w:rPr>
      </w:pPr>
      <w:r w:rsidRPr="00345D61">
        <w:rPr>
          <w:rFonts w:eastAsia="Calibri"/>
        </w:rPr>
        <w:t>Il resto di questa nota è organizzato come segue. Nel secondo paragrafo si descrivono le caratteristiche del blocco di offerta mentre il terzo e il quarto paragrafo, contengono la descrizione del sistema dei prezzi e del mercato del lavoro. Nel quinto paragrafo si illustra il blocco di domanda articolata per singoli operatori. Infine il sesto paragrafo è dedicato alla descrizione della banca dati del modello.</w:t>
      </w:r>
    </w:p>
    <w:p w14:paraId="4DA505BE" w14:textId="77777777" w:rsidR="00632447" w:rsidRPr="002A40B7" w:rsidRDefault="00632447" w:rsidP="002A40B7">
      <w:pPr>
        <w:pStyle w:val="012titoloparagrafo"/>
        <w:rPr>
          <w:rFonts w:eastAsia="Calibri"/>
        </w:rPr>
      </w:pPr>
      <w:r w:rsidRPr="002A40B7">
        <w:t xml:space="preserve">L’offerta </w:t>
      </w:r>
    </w:p>
    <w:p w14:paraId="4EDA2B94" w14:textId="77777777" w:rsidR="00632447" w:rsidRPr="00345D61" w:rsidRDefault="00632447" w:rsidP="00632447">
      <w:pPr>
        <w:pStyle w:val="01testo"/>
      </w:pPr>
      <w:r w:rsidRPr="00345D61">
        <w:t xml:space="preserve">Il lato dell’offerta viene inserito nel modello facendo riferimento al “modello di Solow”, in base al quale gli stock di risorse produttive (capitale e lavoro) e il progresso tecnico costituiscono le determinanti principali della crescita economica. Ciò costituisce la base per la stima del livello di </w:t>
      </w:r>
      <w:r w:rsidRPr="00345D61">
        <w:lastRenderedPageBreak/>
        <w:t>prodotto potenziale, definito come il livello di output sostenibile senza generare un aumento dell’inflazione. Nel lungo periodo il sistema economico converge verso il sentiero di crescita potenziale, determinato esclusivamente dalle forze di offerta, mentre nel breve periodo fluttua intorno ad esso a causa di shock generati dalle forze di domanda. Tali fluttuazioni sono colte dagli scostamenti del prodotto effettivo (</w:t>
      </w:r>
      <w:r w:rsidRPr="00345D61">
        <w:rPr>
          <w:i/>
        </w:rPr>
        <w:t>Y</w:t>
      </w:r>
      <w:r w:rsidRPr="00345D61">
        <w:rPr>
          <w:i/>
          <w:vertAlign w:val="subscript"/>
        </w:rPr>
        <w:t>EFF</w:t>
      </w:r>
      <w:r w:rsidRPr="00345D61">
        <w:t>) dal suo livello potenziale (</w:t>
      </w:r>
      <w:r w:rsidRPr="00345D61">
        <w:rPr>
          <w:i/>
        </w:rPr>
        <w:t>Y</w:t>
      </w:r>
      <w:r w:rsidRPr="00345D61">
        <w:rPr>
          <w:i/>
          <w:vertAlign w:val="subscript"/>
        </w:rPr>
        <w:t>POT</w:t>
      </w:r>
      <w:r w:rsidRPr="00345D61">
        <w:t>) sintetizzabili attraverso l’output gap definito dalla seguente espressione:</w:t>
      </w:r>
    </w:p>
    <w:p w14:paraId="22C6B9A3" w14:textId="77777777" w:rsidR="00632447" w:rsidRPr="00345D61" w:rsidRDefault="00632447" w:rsidP="00632447">
      <w:pPr>
        <w:pStyle w:val="016formula"/>
      </w:pPr>
      <w:r w:rsidRPr="00345D61">
        <w:t>GAP = Y</w:t>
      </w:r>
      <w:r w:rsidRPr="00345D61">
        <w:rPr>
          <w:vertAlign w:val="subscript"/>
        </w:rPr>
        <w:t xml:space="preserve">EFF </w:t>
      </w:r>
      <w:r w:rsidRPr="00345D61">
        <w:t>/ Y</w:t>
      </w:r>
      <w:r w:rsidRPr="00345D61">
        <w:rPr>
          <w:vertAlign w:val="subscript"/>
        </w:rPr>
        <w:t xml:space="preserve">POT </w:t>
      </w:r>
      <w:r w:rsidRPr="00345D61">
        <w:t>- 1</w:t>
      </w:r>
    </w:p>
    <w:p w14:paraId="3CCC7922" w14:textId="77777777" w:rsidR="00632447" w:rsidRPr="00345D61" w:rsidRDefault="00632447" w:rsidP="00632447">
      <w:pPr>
        <w:pStyle w:val="01testo"/>
      </w:pPr>
      <w:r w:rsidRPr="00345D61">
        <w:t>Il divario tra produzione effettiva e potenziale è inversamente correlato al divario tra disoccupazione effettiva (</w:t>
      </w:r>
      <w:r w:rsidRPr="00345D61">
        <w:rPr>
          <w:i/>
        </w:rPr>
        <w:t>UR</w:t>
      </w:r>
      <w:r w:rsidRPr="00345D61">
        <w:t>) e disoccupazione strutturale (</w:t>
      </w:r>
      <w:r w:rsidRPr="00345D61">
        <w:rPr>
          <w:i/>
        </w:rPr>
        <w:t>NAIRU</w:t>
      </w:r>
      <w:r w:rsidRPr="00345D61">
        <w:t>) in base alla seguente relazione (Okun, 1962):</w:t>
      </w:r>
    </w:p>
    <w:p w14:paraId="0B4FDBCE" w14:textId="77777777" w:rsidR="00632447" w:rsidRPr="00345D61" w:rsidRDefault="00632447" w:rsidP="00632447">
      <w:pPr>
        <w:pStyle w:val="016formula"/>
      </w:pPr>
      <w:r w:rsidRPr="00345D61">
        <w:t>GAP = -b (UR - NAIRU)</w:t>
      </w:r>
    </w:p>
    <w:p w14:paraId="11B02822" w14:textId="77777777" w:rsidR="00632447" w:rsidRPr="00345D61" w:rsidRDefault="00632447" w:rsidP="00632447">
      <w:pPr>
        <w:pStyle w:val="01testo"/>
      </w:pPr>
      <w:r w:rsidRPr="00345D61">
        <w:t>Gli squilibri tra disoccupazione effettiva e strutturale e tra prodotto effettivo e potenziale generano a loro volta variazioni nei prezzi tali da riequilibrare il sistema.</w:t>
      </w:r>
    </w:p>
    <w:p w14:paraId="2E005FF8" w14:textId="77777777" w:rsidR="00632447" w:rsidRPr="00345D61" w:rsidRDefault="00632447" w:rsidP="00632447">
      <w:pPr>
        <w:pStyle w:val="01testo"/>
      </w:pPr>
      <w:r w:rsidRPr="00345D61">
        <w:t xml:space="preserve">Nel modello il prodotto potenziale è misurato seguendo l’approccio della funzione di produzione, in analogia a quanto suggerito dalla Commissione Europea (si veda D’Auria </w:t>
      </w:r>
      <w:r w:rsidRPr="00345D61">
        <w:rPr>
          <w:i/>
        </w:rPr>
        <w:t>et al.</w:t>
      </w:r>
      <w:r w:rsidRPr="00345D61">
        <w:t>, 2010).</w:t>
      </w:r>
      <w:r w:rsidRPr="00345D61">
        <w:rPr>
          <w:rStyle w:val="Rimandonotaapidipagina"/>
          <w:rFonts w:cs="Arial"/>
        </w:rPr>
        <w:footnoteReference w:id="14"/>
      </w:r>
      <w:r w:rsidRPr="00345D61">
        <w:t xml:space="preserve"> L’ipotesi principale è che l’offerta potenziale dell’economia possa essere rappresentata da una funzione di produzione di tipo Cobb-Douglas. In termini formali: </w:t>
      </w:r>
    </w:p>
    <w:p w14:paraId="5F6E68BC" w14:textId="77777777" w:rsidR="00632447" w:rsidRPr="00345D61" w:rsidRDefault="00632447" w:rsidP="00632447">
      <w:pPr>
        <w:pStyle w:val="016formula"/>
      </w:pPr>
      <w:r w:rsidRPr="00345D61">
        <w:t>Y</w:t>
      </w:r>
      <w:r w:rsidRPr="00345D61">
        <w:rPr>
          <w:vertAlign w:val="subscript"/>
        </w:rPr>
        <w:t xml:space="preserve">POT </w:t>
      </w:r>
      <w:r w:rsidRPr="00345D61">
        <w:t>= f</w:t>
      </w:r>
      <w:r w:rsidRPr="00345D61">
        <w:rPr>
          <w:vertAlign w:val="subscript"/>
        </w:rPr>
        <w:t xml:space="preserve">POT </w:t>
      </w:r>
      <w:r w:rsidRPr="00345D61">
        <w:t>(K, LP, HTFP)</w:t>
      </w:r>
    </w:p>
    <w:p w14:paraId="29B4E49E" w14:textId="77777777" w:rsidR="00632447" w:rsidRPr="00345D61" w:rsidRDefault="00632447" w:rsidP="00F97C73">
      <w:pPr>
        <w:pStyle w:val="01testo"/>
      </w:pPr>
      <w:r w:rsidRPr="00345D61">
        <w:t xml:space="preserve">dove </w:t>
      </w:r>
      <w:r w:rsidRPr="00345D61">
        <w:rPr>
          <w:i/>
        </w:rPr>
        <w:t>LP</w:t>
      </w:r>
      <w:r w:rsidRPr="00345D61">
        <w:t xml:space="preserve"> rappresenta l’input di lavoro potenziale, </w:t>
      </w:r>
      <w:r w:rsidRPr="00345D61">
        <w:rPr>
          <w:i/>
        </w:rPr>
        <w:t>K</w:t>
      </w:r>
      <w:r w:rsidRPr="00345D61">
        <w:t xml:space="preserve"> lo stock di capitale e </w:t>
      </w:r>
      <w:r w:rsidRPr="00345D61">
        <w:rPr>
          <w:i/>
        </w:rPr>
        <w:t>HTFP</w:t>
      </w:r>
      <w:r w:rsidRPr="00345D61">
        <w:t xml:space="preserve"> è la componente di trend</w:t>
      </w:r>
      <w:r w:rsidRPr="00345D61">
        <w:rPr>
          <w:rStyle w:val="Rimandonotaapidipagina"/>
          <w:rFonts w:cs="Arial"/>
        </w:rPr>
        <w:footnoteReference w:id="15"/>
      </w:r>
      <w:r w:rsidRPr="00345D61">
        <w:t xml:space="preserve"> della produttività totale dei fattori (residuo di Solow). L’input di lavoro potenziale viene ottenuto depurando l’occupazione effettiva dalla componente ciclica. Lo stock di capitale potenziale K è ottenuto con il metodo dell’inventario permanente (Goldsmith, 1951). L’assunzione principale è che lo stock di capitale potenziale coincide con quello effettivo nell’ipotesi che esso rappresenti l’utilizzo di pieno impiego dei beni capitali. </w:t>
      </w:r>
    </w:p>
    <w:p w14:paraId="1BB33F97" w14:textId="77777777" w:rsidR="00632447" w:rsidRPr="002A40B7" w:rsidRDefault="00632447" w:rsidP="002A40B7">
      <w:pPr>
        <w:pStyle w:val="012titoloparagrafo"/>
      </w:pPr>
      <w:r w:rsidRPr="002A40B7">
        <w:t>Prezzi e salari</w:t>
      </w:r>
    </w:p>
    <w:p w14:paraId="469B548E" w14:textId="77777777" w:rsidR="00632447" w:rsidRPr="00345D61" w:rsidRDefault="00632447" w:rsidP="00F97C73">
      <w:pPr>
        <w:pStyle w:val="01testo"/>
      </w:pPr>
      <w:r w:rsidRPr="00345D61">
        <w:t>Il meccanismo di formazione di prezzi e salari spinge la domanda effettiva in beni e servizi e l’occupazione ad aggiustarsi rispettivamente al livello di offerta (prodotto potenziale) e all’occupazione potenziale, definita a sua volta dall’interazione fra NAIRU e una combinazione di tasso di partecipazione alle forze di lavoro e dinamica demografica della popolazione in età da lavoro.</w:t>
      </w:r>
    </w:p>
    <w:p w14:paraId="5007971D" w14:textId="77777777" w:rsidR="00632447" w:rsidRPr="00345D61" w:rsidRDefault="00632447" w:rsidP="00632447">
      <w:pPr>
        <w:pStyle w:val="01testo"/>
      </w:pPr>
      <w:r w:rsidRPr="00345D61">
        <w:t>Utilizzando la stilizzazione del “triangolo” proposta da Gordon (1981, 1988), sia la variabile prezzo di riferimento del sistema economico (</w:t>
      </w:r>
      <w:r w:rsidRPr="00345D61">
        <w:rPr>
          <w:i/>
        </w:rPr>
        <w:t>pivot</w:t>
      </w:r>
      <w:r w:rsidRPr="00345D61">
        <w:t xml:space="preserve">), sia i redditi da lavoro dipendente pro capite risentono di tre effetti principali: (1) la persistenza, misurata dalla loro dinamica negli anni precedenti; (2) gli shock di domanda, misurati dall'output gap e dall’eccesso del livello effettivo di disoccupazione rispetto al </w:t>
      </w:r>
      <w:r w:rsidRPr="00345D61">
        <w:rPr>
          <w:i/>
        </w:rPr>
        <w:t>NAIRU</w:t>
      </w:r>
      <w:r w:rsidRPr="00345D61">
        <w:t>; (3) altri shock di rilievo, nel contesto economico italiano come quelli derivanti dai i prezzi all’importazione, da shock di produttività del lavoro e da tensioni sul mercato del lavoro nell</w:t>
      </w:r>
      <w:r w:rsidR="006E03EE">
        <w:t>e fasi di rinnovo contrattuale.</w:t>
      </w:r>
    </w:p>
    <w:p w14:paraId="4E3D10F8" w14:textId="77777777" w:rsidR="00632447" w:rsidRPr="00345D61" w:rsidRDefault="00632447" w:rsidP="00632447">
      <w:pPr>
        <w:pStyle w:val="01testo"/>
      </w:pPr>
      <w:r w:rsidRPr="00345D61">
        <w:t>Il deflatore del valore aggiunto al costo dei fattori (</w:t>
      </w:r>
      <w:r w:rsidRPr="00345D61">
        <w:rPr>
          <w:i/>
        </w:rPr>
        <w:t>PV</w:t>
      </w:r>
      <w:r w:rsidRPr="00345D61">
        <w:t xml:space="preserve">) è il prezzo </w:t>
      </w:r>
      <w:r w:rsidRPr="00345D61">
        <w:rPr>
          <w:i/>
        </w:rPr>
        <w:t>pivot</w:t>
      </w:r>
      <w:r w:rsidRPr="00345D61">
        <w:t xml:space="preserve"> del modello:</w:t>
      </w:r>
    </w:p>
    <w:p w14:paraId="17C0E758" w14:textId="77777777" w:rsidR="00632447" w:rsidRPr="00345D61" w:rsidRDefault="00632447" w:rsidP="00632447">
      <w:pPr>
        <w:pStyle w:val="016formula"/>
      </w:pPr>
      <w:r w:rsidRPr="00345D61">
        <w:t>dlogPV = f</w:t>
      </w:r>
      <w:r w:rsidRPr="00345D61">
        <w:rPr>
          <w:vertAlign w:val="subscript"/>
        </w:rPr>
        <w:t>PV</w:t>
      </w:r>
      <w:r w:rsidRPr="00345D61">
        <w:t xml:space="preserve"> (dlogPV</w:t>
      </w:r>
      <w:r w:rsidRPr="00345D61">
        <w:rPr>
          <w:vertAlign w:val="subscript"/>
        </w:rPr>
        <w:t xml:space="preserve">-1 </w:t>
      </w:r>
      <w:r w:rsidRPr="00345D61">
        <w:t>, GAP, WB/YU)</w:t>
      </w:r>
    </w:p>
    <w:p w14:paraId="5E77C800" w14:textId="77777777" w:rsidR="00632447" w:rsidRPr="00345D61" w:rsidRDefault="00632447" w:rsidP="00632447">
      <w:pPr>
        <w:pStyle w:val="01testo"/>
      </w:pPr>
      <w:r w:rsidRPr="00345D61">
        <w:t xml:space="preserve">dove </w:t>
      </w:r>
      <w:r w:rsidRPr="00345D61">
        <w:rPr>
          <w:i/>
        </w:rPr>
        <w:t>dlogPV</w:t>
      </w:r>
      <w:r w:rsidRPr="00345D61">
        <w:rPr>
          <w:i/>
          <w:vertAlign w:val="subscript"/>
        </w:rPr>
        <w:t>-1</w:t>
      </w:r>
      <w:r w:rsidRPr="00345D61">
        <w:t xml:space="preserve"> misura l’inerzia, </w:t>
      </w:r>
      <w:r w:rsidRPr="00345D61">
        <w:rPr>
          <w:i/>
        </w:rPr>
        <w:t>GAP</w:t>
      </w:r>
      <w:r w:rsidRPr="00345D61">
        <w:t xml:space="preserve"> misura gli shock di domanda, </w:t>
      </w:r>
      <w:r w:rsidRPr="00345D61">
        <w:rPr>
          <w:i/>
        </w:rPr>
        <w:t>WB/YU</w:t>
      </w:r>
      <w:r w:rsidRPr="00345D61">
        <w:t xml:space="preserve"> (costo reale del lavoro per unità di prodotto ottenuto dal rapporto fra redditi da lavoro dipendente e PIL a prezzi correnti) misura shock di produttività e costo del lavoro. L’equazione per </w:t>
      </w:r>
      <w:r w:rsidRPr="00345D61">
        <w:rPr>
          <w:i/>
        </w:rPr>
        <w:t>PV</w:t>
      </w:r>
      <w:r w:rsidRPr="00345D61">
        <w:t xml:space="preserve"> può anche essere interpretata come una curva di Phillips neokeynesiana (NKPC, Galì e Gertler, 1999) in cui si ipotizza che le aspettative sono </w:t>
      </w:r>
      <w:r w:rsidRPr="00345D61">
        <w:rPr>
          <w:i/>
        </w:rPr>
        <w:t>backward-looking</w:t>
      </w:r>
      <w:r w:rsidRPr="00345D61">
        <w:t>.</w:t>
      </w:r>
      <w:r w:rsidRPr="00345D61">
        <w:rPr>
          <w:rStyle w:val="Rimandonotaapidipagina"/>
          <w:rFonts w:cs="Arial"/>
        </w:rPr>
        <w:footnoteReference w:id="16"/>
      </w:r>
    </w:p>
    <w:p w14:paraId="34408835" w14:textId="77777777" w:rsidR="00632447" w:rsidRPr="00345D61" w:rsidRDefault="00632447" w:rsidP="00632447">
      <w:pPr>
        <w:pStyle w:val="01testo"/>
        <w:rPr>
          <w:i/>
        </w:rPr>
      </w:pPr>
      <w:r w:rsidRPr="00345D61">
        <w:t xml:space="preserve">La crescita del salario nominale è spiegata dal deflatore dei consumi delle famiglie nell’anno precedente (che implica aspettative di inflazione </w:t>
      </w:r>
      <w:r w:rsidRPr="00345D61">
        <w:rPr>
          <w:i/>
        </w:rPr>
        <w:t>backward-looking</w:t>
      </w:r>
      <w:r w:rsidRPr="00345D61">
        <w:t xml:space="preserve">), dal tasso di disoccupazione, </w:t>
      </w:r>
      <w:r w:rsidRPr="00345D61">
        <w:lastRenderedPageBreak/>
        <w:t>dalla produttività del lavoro e da una variabile che misura le tensioni sul mercato del lavoro nelle fasi di rinnovo contrattuale.</w:t>
      </w:r>
      <w:r w:rsidRPr="00345D61">
        <w:rPr>
          <w:rStyle w:val="Rimandonotaapidipagina"/>
          <w:rFonts w:cs="Arial"/>
        </w:rPr>
        <w:footnoteReference w:id="17"/>
      </w:r>
    </w:p>
    <w:p w14:paraId="2AB63BC9" w14:textId="77777777" w:rsidR="00632447" w:rsidRPr="00345D61" w:rsidRDefault="00632447" w:rsidP="00632447">
      <w:pPr>
        <w:pStyle w:val="01testo"/>
      </w:pPr>
      <w:r w:rsidRPr="00345D61">
        <w:t>Il deflatore delle importazioni è determinato dall’indice di prezzo in dollari dei manufatti sui mercati internazionali, dalle quotazioni in dollari del Brent e dal tasso di cambio nominale del dollaro rispetto all’euro.</w:t>
      </w:r>
      <w:r w:rsidRPr="00345D61">
        <w:rPr>
          <w:rStyle w:val="Rimandonotaapidipagina"/>
          <w:rFonts w:cs="Arial"/>
        </w:rPr>
        <w:footnoteReference w:id="18"/>
      </w:r>
      <w:r w:rsidRPr="00345D61">
        <w:t xml:space="preserve"> A questi fattori si unisce una componente di persistenza misurata dal tasso di inflazione del deflatore delle importazioni nell'anno precedente. </w:t>
      </w:r>
    </w:p>
    <w:p w14:paraId="2C206264" w14:textId="77777777" w:rsidR="00632447" w:rsidRPr="00345D61" w:rsidRDefault="00632447" w:rsidP="00F97C73">
      <w:pPr>
        <w:pStyle w:val="01testo"/>
      </w:pPr>
      <w:r w:rsidRPr="00345D61">
        <w:t>I deflatori delle componenti della domanda dipendono da queste variabili e dalle aliquote effettive medie di imposizione indiretta distinte per: imposta sul valore aggiunto, altre imposte indirette e contributi alla produzione.</w:t>
      </w:r>
    </w:p>
    <w:p w14:paraId="716B5E08" w14:textId="77777777" w:rsidR="00632447" w:rsidRPr="002A40B7" w:rsidRDefault="00632447" w:rsidP="002A40B7">
      <w:pPr>
        <w:pStyle w:val="012titoloparagrafo"/>
      </w:pPr>
      <w:r w:rsidRPr="002A40B7">
        <w:t>Il mercato del lavoro</w:t>
      </w:r>
    </w:p>
    <w:p w14:paraId="3F035297" w14:textId="77777777" w:rsidR="00632447" w:rsidRPr="00345D61" w:rsidRDefault="00632447" w:rsidP="00F97C73">
      <w:pPr>
        <w:pStyle w:val="01testo"/>
      </w:pPr>
      <w:r w:rsidRPr="00345D61">
        <w:t>Il blocco del mercato del lavoro è rappresentato attraverso tre gruppi di equazioni che definiscono rispettivamente la domanda di lavoro, l’offerta di lavoro e i salari. La specificazione della domanda di lavoro deriva direttamente dalla funzione di produzione (Hamermesh 1996 e 1999). In tale contesto, nell’ipotesi di concorrenza perfetta in cui il fattore lavoro è remunerato in base al prodotto marginale, si deriva l’equazione della domanda di lavoro che dipende positivamente dall’output e negativamente dal salario reale. Di conseguenza la domanda del settore privato (</w:t>
      </w:r>
      <w:r w:rsidRPr="00345D61">
        <w:rPr>
          <w:i/>
        </w:rPr>
        <w:t>LDP</w:t>
      </w:r>
      <w:r w:rsidRPr="00345D61">
        <w:t>), espressa in termini di unità di lavoro standard (</w:t>
      </w:r>
      <w:r w:rsidRPr="00345D61">
        <w:rPr>
          <w:i/>
        </w:rPr>
        <w:t>ULA</w:t>
      </w:r>
      <w:r w:rsidRPr="00345D61">
        <w:t>), è definita dalla seguente espressione:</w:t>
      </w:r>
    </w:p>
    <w:p w14:paraId="7D844417" w14:textId="5C26AC14" w:rsidR="00632447" w:rsidRPr="008E2E7D" w:rsidRDefault="008E2E7D" w:rsidP="00632447">
      <w:pPr>
        <w:pStyle w:val="016formula"/>
      </w:pPr>
      <m:oMathPara>
        <m:oMath>
          <m:r>
            <w:rPr>
              <w:rFonts w:ascii="Cambria Math" w:hAnsi="Cambria Math"/>
            </w:rPr>
            <m:t>LDP=</m:t>
          </m:r>
          <m:sSub>
            <m:sSubPr>
              <m:ctrlPr>
                <w:rPr>
                  <w:rFonts w:ascii="Cambria Math" w:hAnsi="Cambria Math"/>
                </w:rPr>
              </m:ctrlPr>
            </m:sSubPr>
            <m:e>
              <m:r>
                <w:rPr>
                  <w:rFonts w:ascii="Cambria Math" w:hAnsi="Cambria Math"/>
                </w:rPr>
                <m:t>f</m:t>
              </m:r>
            </m:e>
            <m:sub>
              <m:r>
                <w:rPr>
                  <w:rFonts w:ascii="Cambria Math" w:hAnsi="Cambria Math"/>
                </w:rPr>
                <m:t>LD</m:t>
              </m:r>
            </m:sub>
          </m:sSub>
          <m:r>
            <w:rPr>
              <w:rFonts w:ascii="Cambria Math" w:hAnsi="Cambria Math"/>
            </w:rPr>
            <m:t>(Y, PY,</m:t>
          </m:r>
          <m:f>
            <m:fPr>
              <m:ctrlPr>
                <w:rPr>
                  <w:rFonts w:ascii="Cambria Math" w:hAnsi="Cambria Math"/>
                </w:rPr>
              </m:ctrlPr>
            </m:fPr>
            <m:num>
              <m:r>
                <w:rPr>
                  <w:rFonts w:ascii="Cambria Math" w:hAnsi="Cambria Math"/>
                </w:rPr>
                <m:t>WB</m:t>
              </m:r>
            </m:num>
            <m:den>
              <m:r>
                <w:rPr>
                  <w:rFonts w:ascii="Cambria Math" w:hAnsi="Cambria Math"/>
                </w:rPr>
                <m:t>LDD</m:t>
              </m:r>
            </m:den>
          </m:f>
          <m:r>
            <w:rPr>
              <w:rFonts w:ascii="Cambria Math" w:hAnsi="Cambria Math"/>
            </w:rPr>
            <m:t>,PV)</m:t>
          </m:r>
        </m:oMath>
      </m:oMathPara>
    </w:p>
    <w:p w14:paraId="5635335F" w14:textId="77777777" w:rsidR="00632447" w:rsidRPr="00345D61" w:rsidRDefault="00632447" w:rsidP="00632447">
      <w:pPr>
        <w:pStyle w:val="01testo"/>
      </w:pPr>
      <w:r w:rsidRPr="00345D61">
        <w:t xml:space="preserve">dove </w:t>
      </w:r>
      <w:r w:rsidRPr="00345D61">
        <w:rPr>
          <w:i/>
        </w:rPr>
        <w:t>Y</w:t>
      </w:r>
      <w:r w:rsidRPr="00345D61">
        <w:t xml:space="preserve"> è il valore aggiunto a prezzi correnti, </w:t>
      </w:r>
      <w:r w:rsidRPr="00345D61">
        <w:rPr>
          <w:i/>
        </w:rPr>
        <w:t>PY</w:t>
      </w:r>
      <w:r w:rsidRPr="00345D61">
        <w:t xml:space="preserve"> è il deflatore del PIL, </w:t>
      </w:r>
      <w:r w:rsidRPr="00345D61">
        <w:rPr>
          <w:i/>
        </w:rPr>
        <w:t>WB</w:t>
      </w:r>
      <w:r w:rsidRPr="00345D61">
        <w:t xml:space="preserve"> rappresenta l’ammontare dei redditi da lavoro dipendente a prezzi correnti al lordo dei contributi sociali, </w:t>
      </w:r>
      <w:r w:rsidRPr="00345D61">
        <w:rPr>
          <w:i/>
        </w:rPr>
        <w:t>LDD</w:t>
      </w:r>
      <w:r w:rsidRPr="00345D61">
        <w:t xml:space="preserve"> definisce le unità di lavoro dipendenti espresse in funzione della capacità produttiva, </w:t>
      </w:r>
      <w:r w:rsidRPr="00345D61">
        <w:rPr>
          <w:i/>
        </w:rPr>
        <w:t>PV</w:t>
      </w:r>
      <w:r w:rsidRPr="00345D61">
        <w:t xml:space="preserve"> il deflatore del valore aggiunto al costo dei fattori. </w:t>
      </w:r>
    </w:p>
    <w:p w14:paraId="520097A8" w14:textId="640BF4F2" w:rsidR="00632447" w:rsidRPr="00345D61" w:rsidRDefault="00632447" w:rsidP="00632447">
      <w:pPr>
        <w:pStyle w:val="01testo"/>
      </w:pPr>
      <w:r w:rsidRPr="00345D61">
        <w:t>L’input di lavoro del settore pubblico (</w:t>
      </w:r>
      <m:oMath>
        <m:acc>
          <m:accPr>
            <m:chr m:val="̅"/>
            <m:ctrlPr>
              <w:rPr>
                <w:rFonts w:ascii="Cambria Math" w:hAnsi="Cambria Math"/>
              </w:rPr>
            </m:ctrlPr>
          </m:accPr>
          <m:e>
            <m:r>
              <m:rPr>
                <m:sty m:val="p"/>
              </m:rPr>
              <w:rPr>
                <w:rFonts w:ascii="Cambria Math" w:hAnsi="Cambria Math"/>
              </w:rPr>
              <m:t>LDG</m:t>
            </m:r>
          </m:e>
        </m:acc>
      </m:oMath>
      <w:r w:rsidRPr="00345D61">
        <w:t>) è esogeno. Ne segue che il totale dell’input di lavoro (</w:t>
      </w:r>
      <w:r w:rsidRPr="00345D61">
        <w:rPr>
          <w:i/>
        </w:rPr>
        <w:t>LD</w:t>
      </w:r>
      <w:r w:rsidRPr="00345D61">
        <w:t xml:space="preserve">) utilizzato nel processo produttivo è costituito da: </w:t>
      </w:r>
    </w:p>
    <w:p w14:paraId="7BC6E131" w14:textId="721A9B1B" w:rsidR="00632447" w:rsidRPr="008E2E7D" w:rsidRDefault="008E2E7D" w:rsidP="00632447">
      <w:pPr>
        <w:pStyle w:val="016formula"/>
      </w:pPr>
      <m:oMathPara>
        <m:oMath>
          <m:r>
            <w:rPr>
              <w:rFonts w:ascii="Cambria Math" w:hAnsi="Cambria Math"/>
            </w:rPr>
            <m:t xml:space="preserve"> LD≡(LDP+</m:t>
          </m:r>
          <m:acc>
            <m:accPr>
              <m:chr m:val="̅"/>
              <m:ctrlPr>
                <w:rPr>
                  <w:rFonts w:ascii="Cambria Math" w:hAnsi="Cambria Math"/>
                </w:rPr>
              </m:ctrlPr>
            </m:accPr>
            <m:e>
              <m:r>
                <w:rPr>
                  <w:rFonts w:ascii="Cambria Math" w:hAnsi="Cambria Math"/>
                </w:rPr>
                <m:t>LDG</m:t>
              </m:r>
            </m:e>
          </m:acc>
          <m:r>
            <w:rPr>
              <w:rFonts w:ascii="Cambria Math" w:hAnsi="Cambria Math"/>
            </w:rPr>
            <m:t>)</m:t>
          </m:r>
        </m:oMath>
      </m:oMathPara>
    </w:p>
    <w:p w14:paraId="17BA1ADA" w14:textId="77777777" w:rsidR="00632447" w:rsidRPr="00345D61" w:rsidRDefault="00632447" w:rsidP="00632447">
      <w:pPr>
        <w:pStyle w:val="01testo"/>
      </w:pPr>
      <w:r w:rsidRPr="00345D61">
        <w:t>L’equilibrio del mercato del lavoro si ottiene attraverso l’interazione tra domanda e offerta. Nel modello si tiene conto dei fattori demografici e della relazione tra fluttuazioni del ciclo economico e dei tassi di partecipazione (Lucas e Rapping, 1969) utilizzando la variabile forza di lavoro nella definizione della funzione di offerta.</w:t>
      </w:r>
    </w:p>
    <w:p w14:paraId="59A4CF05" w14:textId="77777777" w:rsidR="00632447" w:rsidRPr="00345D61" w:rsidRDefault="00632447" w:rsidP="00632447">
      <w:pPr>
        <w:pStyle w:val="01testo"/>
      </w:pPr>
      <w:r w:rsidRPr="00345D61">
        <w:t>L’offerta di lavoro è definita in termini di tassi di partecipazione disaggregati per genere (</w:t>
      </w:r>
      <w:r w:rsidRPr="00345D61">
        <w:rPr>
          <w:i/>
        </w:rPr>
        <w:t>i</w:t>
      </w:r>
      <w:r w:rsidRPr="00345D61">
        <w:t xml:space="preserve"> = F, M). Più precisamente il tasso di partecipazione (</w:t>
      </w:r>
      <w:r w:rsidRPr="00345D61">
        <w:rPr>
          <w:i/>
        </w:rPr>
        <w:t>PART</w:t>
      </w:r>
      <w:r w:rsidRPr="00345D61">
        <w:rPr>
          <w:i/>
          <w:vertAlign w:val="subscript"/>
        </w:rPr>
        <w:t>i</w:t>
      </w:r>
      <w:r w:rsidRPr="00345D61">
        <w:t xml:space="preserve">) è specificato nel modo seguente: </w:t>
      </w:r>
    </w:p>
    <w:p w14:paraId="22A6EB01" w14:textId="424B1454" w:rsidR="00632447" w:rsidRPr="008E2E7D" w:rsidRDefault="00E51F9E" w:rsidP="00632447">
      <w:pPr>
        <w:pStyle w:val="016formula"/>
      </w:pPr>
      <m:oMathPara>
        <m:oMathParaPr>
          <m:jc m:val="left"/>
        </m:oMathParaPr>
        <m:oMath>
          <m:sSub>
            <m:sSubPr>
              <m:ctrlPr>
                <w:rPr>
                  <w:rFonts w:ascii="Cambria Math" w:hAnsi="Cambria Math"/>
                </w:rPr>
              </m:ctrlPr>
            </m:sSubPr>
            <m:e>
              <m:r>
                <w:rPr>
                  <w:rFonts w:ascii="Cambria Math" w:hAnsi="Cambria Math"/>
                </w:rPr>
                <m:t>PART</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f</m:t>
              </m:r>
            </m:e>
            <m:sub>
              <m:r>
                <w:rPr>
                  <w:rFonts w:ascii="Cambria Math" w:hAnsi="Cambria Math"/>
                </w:rPr>
                <m:t>LS</m:t>
              </m:r>
            </m:sub>
          </m:sSub>
          <m:r>
            <w:rPr>
              <w:rFonts w:ascii="Cambria Math" w:hAnsi="Cambria Math"/>
            </w:rPr>
            <m:t>(</m:t>
          </m:r>
          <m:acc>
            <m:accPr>
              <m:chr m:val="̅"/>
              <m:ctrlPr>
                <w:rPr>
                  <w:rFonts w:ascii="Cambria Math" w:hAnsi="Cambria Math"/>
                </w:rPr>
              </m:ctrlPr>
            </m:accPr>
            <m:e>
              <m:sSub>
                <m:sSubPr>
                  <m:ctrlPr>
                    <w:rPr>
                      <w:rFonts w:ascii="Cambria Math" w:hAnsi="Cambria Math"/>
                    </w:rPr>
                  </m:ctrlPr>
                </m:sSubPr>
                <m:e>
                  <m:r>
                    <w:rPr>
                      <w:rFonts w:ascii="Cambria Math" w:hAnsi="Cambria Math"/>
                    </w:rPr>
                    <m:t>POP</m:t>
                  </m:r>
                </m:e>
                <m:sub>
                  <m:r>
                    <w:rPr>
                      <w:rFonts w:ascii="Cambria Math" w:hAnsi="Cambria Math"/>
                    </w:rPr>
                    <m:t>i</m:t>
                  </m:r>
                </m:sub>
              </m:sSub>
            </m:e>
          </m:acc>
          <m:r>
            <w:rPr>
              <w:rFonts w:ascii="Cambria Math" w:hAnsi="Cambria Math"/>
            </w:rPr>
            <m:t>,WIPC,</m:t>
          </m:r>
          <m:sSub>
            <m:sSubPr>
              <m:ctrlPr>
                <w:rPr>
                  <w:rFonts w:ascii="Cambria Math" w:hAnsi="Cambria Math"/>
                </w:rPr>
              </m:ctrlPr>
            </m:sSubPr>
            <m:e>
              <m:r>
                <w:rPr>
                  <w:rFonts w:ascii="Cambria Math" w:hAnsi="Cambria Math"/>
                </w:rPr>
                <m:t>EMPR</m:t>
              </m:r>
            </m:e>
            <m:sub>
              <m:r>
                <w:rPr>
                  <w:rFonts w:ascii="Cambria Math" w:hAnsi="Cambria Math"/>
                </w:rPr>
                <m:t>i</m:t>
              </m:r>
            </m:sub>
          </m:sSub>
          <m:r>
            <w:rPr>
              <w:rFonts w:ascii="Cambria Math" w:hAnsi="Cambria Math"/>
            </w:rPr>
            <m:t>, PCH)</m:t>
          </m:r>
        </m:oMath>
      </m:oMathPara>
    </w:p>
    <w:p w14:paraId="78924653" w14:textId="77777777" w:rsidR="00632447" w:rsidRDefault="00632447" w:rsidP="00632447">
      <w:pPr>
        <w:pStyle w:val="01testo"/>
      </w:pPr>
      <w:r w:rsidRPr="00345D61">
        <w:t xml:space="preserve">dove </w:t>
      </w:r>
      <w:r w:rsidRPr="00345D61">
        <w:rPr>
          <w:i/>
        </w:rPr>
        <w:t>POP</w:t>
      </w:r>
      <w:r w:rsidRPr="00345D61">
        <w:rPr>
          <w:i/>
          <w:vertAlign w:val="subscript"/>
        </w:rPr>
        <w:t>i</w:t>
      </w:r>
      <w:r w:rsidRPr="00345D61">
        <w:t xml:space="preserve"> è la popolazione dai 15 ai 64 anni distinta per genere, </w:t>
      </w:r>
      <w:r w:rsidRPr="00345D61">
        <w:rPr>
          <w:i/>
        </w:rPr>
        <w:t>WIPC/PCH</w:t>
      </w:r>
      <w:r w:rsidRPr="00345D61">
        <w:t xml:space="preserve"> sono le retribuzioni pro capite reali (</w:t>
      </w:r>
      <w:r w:rsidRPr="00345D61">
        <w:rPr>
          <w:i/>
        </w:rPr>
        <w:t>PCH</w:t>
      </w:r>
      <w:r w:rsidRPr="00345D61">
        <w:t xml:space="preserve"> è il deflatore dei consumi privati), </w:t>
      </w:r>
      <w:r w:rsidRPr="00345D61">
        <w:rPr>
          <w:i/>
        </w:rPr>
        <w:t>EMPR</w:t>
      </w:r>
      <w:r w:rsidRPr="00345D61">
        <w:rPr>
          <w:i/>
          <w:vertAlign w:val="subscript"/>
        </w:rPr>
        <w:t>i</w:t>
      </w:r>
      <w:r w:rsidRPr="00345D61">
        <w:t xml:space="preserve"> è il tasso di occupazione, che fornisce una misura sintetica delle condizioni del mercato del lavoro (Bodo e Visco 1987). L</w:t>
      </w:r>
      <w:r w:rsidR="008C68AF">
        <w:t>e</w:t>
      </w:r>
      <w:r w:rsidRPr="00345D61">
        <w:t xml:space="preserve"> due misure del lavoro utilizzate nel modello, le unità di lavoro standard e l’occupazione residente sono rese coerenti mediante una equazione di raccordo. Combinando le informazioni sull’occupazione residente e le forze di lavoro (funzione di offerta) si deriva come identità il tasso di disoccupazione. </w:t>
      </w:r>
    </w:p>
    <w:p w14:paraId="19855D28" w14:textId="77777777" w:rsidR="00F13994" w:rsidRPr="00345D61" w:rsidRDefault="00F13994" w:rsidP="00632447">
      <w:pPr>
        <w:pStyle w:val="01testo"/>
      </w:pPr>
    </w:p>
    <w:p w14:paraId="2C53740A" w14:textId="77777777" w:rsidR="00632447" w:rsidRPr="002A40B7" w:rsidRDefault="00632447" w:rsidP="002A40B7">
      <w:pPr>
        <w:pStyle w:val="012titoloparagrafo"/>
      </w:pPr>
      <w:r w:rsidRPr="002A40B7">
        <w:t>La domanda</w:t>
      </w:r>
    </w:p>
    <w:p w14:paraId="1897796E" w14:textId="77777777" w:rsidR="00632447" w:rsidRPr="00345D61" w:rsidRDefault="00632447" w:rsidP="00632447">
      <w:pPr>
        <w:pStyle w:val="01testo"/>
      </w:pPr>
      <w:r w:rsidRPr="00345D61">
        <w:t xml:space="preserve">Il lato della domanda del modello fa riferimento al comportamento degli operatori economici: Famiglie, Imprese, Amministrazioni Pubbliche e Resto del mondo. Le Famiglie spendono per consumi e investimenti residenziali ed accumulano ricchezza reale e finanziaria; le imprese acquistano tutte le altre tipologie di beni di investimento (macchine ed attrezzature, e altro); la spesa delle Amministrazioni Pubbliche influenza direttamente la domanda finale attraverso i </w:t>
      </w:r>
      <w:r w:rsidRPr="00345D61">
        <w:lastRenderedPageBreak/>
        <w:t>consumi e gli investimenti pubblici; il Resto del mondo determina la componente estera della domanda data dalle esportazioni al netto delle importazioni.</w:t>
      </w:r>
    </w:p>
    <w:p w14:paraId="061A239E" w14:textId="77777777" w:rsidR="00632447" w:rsidRPr="002A40B7" w:rsidRDefault="00632447" w:rsidP="002A40B7">
      <w:pPr>
        <w:pStyle w:val="013titolosottoparagrafo"/>
      </w:pPr>
      <w:r w:rsidRPr="002A40B7">
        <w:t>Le Famiglie</w:t>
      </w:r>
    </w:p>
    <w:p w14:paraId="33D50FC8" w14:textId="7333234A" w:rsidR="00632447" w:rsidRPr="00345D61" w:rsidRDefault="00632447" w:rsidP="00632447">
      <w:pPr>
        <w:pStyle w:val="01testo"/>
      </w:pPr>
      <w:r w:rsidRPr="00345D61">
        <w:t>L’approccio teorico alla determinazione del consumo delle famiglie si riconduce alla teoria del reddito permanente (Friedman, 1957). Un approccio simile per l’Italia è stato seguito, tra gli altri, in Rossi e Visco (1995) e, più recentemente, in Bassanetti e Zollino (2008). Il consumo a prezzi costanti (</w:t>
      </w:r>
      <m:oMath>
        <m:r>
          <w:rPr>
            <w:rFonts w:ascii="Cambria Math" w:hAnsi="Cambria Math"/>
          </w:rPr>
          <m:t>CHO</m:t>
        </m:r>
      </m:oMath>
      <w:r w:rsidRPr="00345D61">
        <w:t>) risulta quindi funzione del reddito disponibile, della ricchezza (reale e finanziaria) e del tasso di interesse:</w:t>
      </w:r>
    </w:p>
    <w:p w14:paraId="0FCB4C04" w14:textId="2883AA50" w:rsidR="00632447" w:rsidRPr="008E2E7D" w:rsidRDefault="008E2E7D" w:rsidP="00632447">
      <w:pPr>
        <w:pStyle w:val="016formula"/>
      </w:pPr>
      <m:oMathPara>
        <m:oMath>
          <m:r>
            <w:rPr>
              <w:rFonts w:ascii="Cambria Math" w:hAnsi="Cambria Math"/>
            </w:rPr>
            <m:t>CHO=</m:t>
          </m:r>
          <m:sSub>
            <m:sSubPr>
              <m:ctrlPr>
                <w:rPr>
                  <w:rFonts w:ascii="Cambria Math" w:hAnsi="Cambria Math"/>
                </w:rPr>
              </m:ctrlPr>
            </m:sSubPr>
            <m:e>
              <m:r>
                <w:rPr>
                  <w:rFonts w:ascii="Cambria Math" w:hAnsi="Cambria Math"/>
                </w:rPr>
                <m:t>f</m:t>
              </m:r>
            </m:e>
            <m:sub>
              <m:r>
                <w:rPr>
                  <w:rFonts w:ascii="Cambria Math" w:hAnsi="Cambria Math"/>
                </w:rPr>
                <m:t>CHO</m:t>
              </m:r>
            </m:sub>
          </m:sSub>
          <m:r>
            <w:rPr>
              <w:rFonts w:ascii="Cambria Math" w:hAnsi="Cambria Math"/>
            </w:rPr>
            <m:t>(YDH, HWFA,HWDW,PCH, IRN)</m:t>
          </m:r>
        </m:oMath>
      </m:oMathPara>
    </w:p>
    <w:p w14:paraId="052FFF90" w14:textId="5F8BED20" w:rsidR="00632447" w:rsidRPr="00345D61" w:rsidRDefault="00632447" w:rsidP="00632447">
      <w:pPr>
        <w:pStyle w:val="01testo"/>
      </w:pPr>
      <w:r w:rsidRPr="00345D61">
        <w:t xml:space="preserve">dove </w:t>
      </w:r>
      <m:oMath>
        <m:r>
          <w:rPr>
            <w:rFonts w:ascii="Cambria Math" w:hAnsi="Cambria Math"/>
          </w:rPr>
          <m:t>YDH</m:t>
        </m:r>
      </m:oMath>
      <w:r w:rsidRPr="00345D61">
        <w:t xml:space="preserve"> è il reddito disponibile a prezzi correnti, </w:t>
      </w:r>
      <m:oMath>
        <m:r>
          <w:rPr>
            <w:rFonts w:ascii="Cambria Math" w:hAnsi="Cambria Math"/>
          </w:rPr>
          <m:t>HWFA</m:t>
        </m:r>
      </m:oMath>
      <w:r w:rsidRPr="00345D61">
        <w:t xml:space="preserve"> e </w:t>
      </w:r>
      <m:oMath>
        <m:r>
          <w:rPr>
            <w:rFonts w:ascii="Cambria Math" w:hAnsi="Cambria Math"/>
          </w:rPr>
          <m:t>HWDW</m:t>
        </m:r>
      </m:oMath>
      <w:r w:rsidRPr="00345D61">
        <w:t xml:space="preserve"> sono rispettivamente le ricchezze finanziaria e reale anch’esse espresse a prezzi correnti, </w:t>
      </w:r>
      <m:oMath>
        <m:r>
          <w:rPr>
            <w:rFonts w:ascii="Cambria Math" w:hAnsi="Cambria Math"/>
          </w:rPr>
          <m:t>PCH</m:t>
        </m:r>
      </m:oMath>
      <w:r w:rsidRPr="00345D61">
        <w:t xml:space="preserve"> è il deflatore dei consumi e </w:t>
      </w:r>
      <m:oMath>
        <m:r>
          <w:rPr>
            <w:rFonts w:ascii="Cambria Math" w:hAnsi="Cambria Math"/>
          </w:rPr>
          <m:t>IRN</m:t>
        </m:r>
      </m:oMath>
      <w:r w:rsidRPr="00345D61">
        <w:rPr>
          <w:i/>
        </w:rPr>
        <w:t xml:space="preserve"> </w:t>
      </w:r>
      <w:r w:rsidRPr="00345D61">
        <w:t>è il tasso di interesse nominale a lungo termine.</w:t>
      </w:r>
    </w:p>
    <w:p w14:paraId="1D6BDD14" w14:textId="1A34783C" w:rsidR="00632447" w:rsidRPr="00345D61" w:rsidRDefault="00632447" w:rsidP="00632447">
      <w:pPr>
        <w:pStyle w:val="01testo"/>
      </w:pPr>
      <w:r w:rsidRPr="00345D61">
        <w:t>La parte di reddito disponibile non consumata va ad alimentare l’accumulazione della ricchezza reale, mentre la quota di reddito disponibile non allocata in consumi e investimenti residenziali (</w:t>
      </w:r>
      <m:oMath>
        <m:r>
          <w:rPr>
            <w:rFonts w:ascii="Cambria Math" w:hAnsi="Cambria Math"/>
          </w:rPr>
          <m:t>IRO</m:t>
        </m:r>
      </m:oMath>
      <w:r w:rsidRPr="00345D61">
        <w:t xml:space="preserve">), contribuisce all’accrescimento dello stock di ricchezza finanziaria. I due stock di ricchezza, valutati ai prezzi di mercato, sono modellati seguendo una specificazione coerente con l’approccio dell’inventario permanente (Goldsmith, 1951). Le equazioni per gli investimenti residenziali, la ricchezza reale e finanziaria sono rispettivamente: </w:t>
      </w:r>
    </w:p>
    <w:p w14:paraId="4E0D10B9" w14:textId="09A606A3" w:rsidR="00632447" w:rsidRPr="008E2E7D" w:rsidRDefault="008E2E7D" w:rsidP="00632447">
      <w:pPr>
        <w:pStyle w:val="016formula"/>
      </w:pPr>
      <m:oMathPara>
        <m:oMath>
          <m:r>
            <w:rPr>
              <w:rFonts w:ascii="Cambria Math" w:hAnsi="Cambria Math"/>
            </w:rPr>
            <m:t>IRO=</m:t>
          </m:r>
          <m:sSub>
            <m:sSubPr>
              <m:ctrlPr>
                <w:rPr>
                  <w:rFonts w:ascii="Cambria Math" w:hAnsi="Cambria Math"/>
                </w:rPr>
              </m:ctrlPr>
            </m:sSubPr>
            <m:e>
              <m:r>
                <w:rPr>
                  <w:rFonts w:ascii="Cambria Math" w:hAnsi="Cambria Math"/>
                </w:rPr>
                <m:t>f</m:t>
              </m:r>
            </m:e>
            <m:sub>
              <m:r>
                <w:rPr>
                  <w:rFonts w:ascii="Cambria Math" w:hAnsi="Cambria Math"/>
                </w:rPr>
                <m:t>IRO</m:t>
              </m:r>
            </m:sub>
          </m:sSub>
          <m:r>
            <w:rPr>
              <w:rFonts w:ascii="Cambria Math" w:hAnsi="Cambria Math"/>
            </w:rPr>
            <m:t>(YDH, PIR, IRN)</m:t>
          </m:r>
        </m:oMath>
      </m:oMathPara>
    </w:p>
    <w:p w14:paraId="6647557B" w14:textId="4771C8D7" w:rsidR="00632447" w:rsidRPr="008E2E7D" w:rsidRDefault="008E2E7D" w:rsidP="00632447">
      <w:pPr>
        <w:pStyle w:val="016formula"/>
      </w:pPr>
      <m:oMathPara>
        <m:oMath>
          <m:r>
            <w:rPr>
              <w:rFonts w:ascii="Cambria Math" w:hAnsi="Cambria Math"/>
            </w:rPr>
            <m:t>HWDW=</m:t>
          </m:r>
          <m:sSub>
            <m:sSubPr>
              <m:ctrlPr>
                <w:rPr>
                  <w:rFonts w:ascii="Cambria Math" w:hAnsi="Cambria Math"/>
                </w:rPr>
              </m:ctrlPr>
            </m:sSubPr>
            <m:e>
              <m:r>
                <w:rPr>
                  <w:rFonts w:ascii="Cambria Math" w:hAnsi="Cambria Math"/>
                </w:rPr>
                <m:t>f</m:t>
              </m:r>
            </m:e>
            <m:sub>
              <m:r>
                <w:rPr>
                  <w:rFonts w:ascii="Cambria Math" w:hAnsi="Cambria Math"/>
                </w:rPr>
                <m:t>HWDW</m:t>
              </m:r>
            </m:sub>
          </m:sSub>
          <m:r>
            <w:rPr>
              <w:rFonts w:ascii="Cambria Math" w:hAnsi="Cambria Math"/>
            </w:rPr>
            <m:t>(YDH, IRO, PIR, IRN)</m:t>
          </m:r>
        </m:oMath>
      </m:oMathPara>
    </w:p>
    <w:p w14:paraId="59A74C70" w14:textId="073C2E19" w:rsidR="00632447" w:rsidRPr="008E2E7D" w:rsidRDefault="008E2E7D" w:rsidP="00632447">
      <w:pPr>
        <w:pStyle w:val="016formula"/>
      </w:pPr>
      <m:oMathPara>
        <m:oMath>
          <m:r>
            <w:rPr>
              <w:rFonts w:ascii="Cambria Math" w:hAnsi="Cambria Math"/>
            </w:rPr>
            <m:t xml:space="preserve"> HWFA=</m:t>
          </m:r>
          <m:sSub>
            <m:sSubPr>
              <m:ctrlPr>
                <w:rPr>
                  <w:rFonts w:ascii="Cambria Math" w:hAnsi="Cambria Math"/>
                </w:rPr>
              </m:ctrlPr>
            </m:sSubPr>
            <m:e>
              <m:r>
                <w:rPr>
                  <w:rFonts w:ascii="Cambria Math" w:hAnsi="Cambria Math"/>
                </w:rPr>
                <m:t>f</m:t>
              </m:r>
            </m:e>
            <m:sub>
              <m:r>
                <w:rPr>
                  <w:rFonts w:ascii="Cambria Math" w:hAnsi="Cambria Math"/>
                </w:rPr>
                <m:t>HWFA</m:t>
              </m:r>
            </m:sub>
          </m:sSub>
          <m:r>
            <w:rPr>
              <w:rFonts w:ascii="Cambria Math" w:hAnsi="Cambria Math"/>
            </w:rPr>
            <m:t>(YDH,CHO,IRO, IRN, COMIT)</m:t>
          </m:r>
        </m:oMath>
      </m:oMathPara>
    </w:p>
    <w:p w14:paraId="022C4F17" w14:textId="20824EDF" w:rsidR="00632447" w:rsidRPr="00345D61" w:rsidRDefault="00632447" w:rsidP="00632447">
      <w:pPr>
        <w:pStyle w:val="01testo"/>
      </w:pPr>
      <w:r w:rsidRPr="00345D61">
        <w:t xml:space="preserve">dove </w:t>
      </w:r>
      <m:oMath>
        <m:r>
          <w:rPr>
            <w:rFonts w:ascii="Cambria Math" w:hAnsi="Cambria Math"/>
          </w:rPr>
          <m:t>PIR</m:t>
        </m:r>
      </m:oMath>
      <w:r w:rsidRPr="00345D61">
        <w:t xml:space="preserve"> è il deflatore degli investimenti residenziali e </w:t>
      </w:r>
      <m:oMath>
        <m:r>
          <w:rPr>
            <w:rFonts w:ascii="Cambria Math" w:hAnsi="Cambria Math"/>
          </w:rPr>
          <m:t>COMIT</m:t>
        </m:r>
      </m:oMath>
      <w:r w:rsidRPr="00345D61">
        <w:t xml:space="preserve"> è l’indice azionario che lega la dinamica della ricchezza finanziaria, oltre che al reddito risparmiato e non investito in beni reali, ai guadagni/perdite in conto capitale dei titoli mobiliari.</w:t>
      </w:r>
    </w:p>
    <w:p w14:paraId="78E2D621" w14:textId="77777777" w:rsidR="00632447" w:rsidRPr="00345D61" w:rsidRDefault="00632447" w:rsidP="00632447">
      <w:pPr>
        <w:pStyle w:val="01testo"/>
      </w:pPr>
      <w:r w:rsidRPr="00345D61">
        <w:t>Il reddito disponibile è ottenuto, come identità, dalla somma di diverse componenti riferite al settore istituzionale delle famiglie, in particolare:</w:t>
      </w:r>
    </w:p>
    <w:p w14:paraId="313DB9B6" w14:textId="6B38321D" w:rsidR="00632447" w:rsidRPr="008E2E7D" w:rsidRDefault="008E2E7D" w:rsidP="00632447">
      <w:pPr>
        <w:pStyle w:val="016formula"/>
      </w:pPr>
      <m:oMathPara>
        <m:oMath>
          <m:r>
            <w:rPr>
              <w:rFonts w:ascii="Cambria Math" w:hAnsi="Cambria Math"/>
            </w:rPr>
            <m:t>YDH=GOSH+WBH+IDH+SBH+OCTH-(SSH+DTH)</m:t>
          </m:r>
        </m:oMath>
      </m:oMathPara>
    </w:p>
    <w:p w14:paraId="280A4021" w14:textId="21042A9E" w:rsidR="00632447" w:rsidRPr="00345D61" w:rsidRDefault="00632447" w:rsidP="00632447">
      <w:pPr>
        <w:pStyle w:val="01testo"/>
      </w:pPr>
      <w:r w:rsidRPr="00345D61">
        <w:t xml:space="preserve">dove </w:t>
      </w:r>
      <m:oMath>
        <m:r>
          <w:rPr>
            <w:rFonts w:ascii="Cambria Math" w:hAnsi="Cambria Math"/>
          </w:rPr>
          <m:t>GOSH</m:t>
        </m:r>
      </m:oMath>
      <w:r w:rsidRPr="00345D61">
        <w:t xml:space="preserve"> è il margine operativo lordo, </w:t>
      </w:r>
      <m:oMath>
        <m:r>
          <w:rPr>
            <w:rFonts w:ascii="Cambria Math" w:hAnsi="Cambria Math"/>
          </w:rPr>
          <m:t>WBH</m:t>
        </m:r>
      </m:oMath>
      <w:r w:rsidRPr="00345D61">
        <w:t xml:space="preserve"> è il totale delle retribuzioni al netto di quelle provenienti dal resto del mondo, </w:t>
      </w:r>
      <m:oMath>
        <m:r>
          <w:rPr>
            <w:rFonts w:ascii="Cambria Math" w:hAnsi="Cambria Math"/>
          </w:rPr>
          <m:t>IDH</m:t>
        </m:r>
      </m:oMath>
      <w:r w:rsidRPr="00345D61">
        <w:t xml:space="preserve"> sono i redditi da interessi e dividendi, </w:t>
      </w:r>
      <m:oMath>
        <m:r>
          <w:rPr>
            <w:rFonts w:ascii="Cambria Math" w:hAnsi="Cambria Math"/>
          </w:rPr>
          <m:t>SBH</m:t>
        </m:r>
      </m:oMath>
      <w:r w:rsidRPr="00345D61">
        <w:t xml:space="preserve"> sono le prestazioni sociali nette, </w:t>
      </w:r>
      <m:oMath>
        <m:r>
          <w:rPr>
            <w:rFonts w:ascii="Cambria Math" w:hAnsi="Cambria Math"/>
          </w:rPr>
          <m:t>OCTH</m:t>
        </m:r>
      </m:oMath>
      <w:r w:rsidRPr="00345D61">
        <w:t xml:space="preserve"> altri trasferimenti, </w:t>
      </w:r>
      <m:oMath>
        <m:r>
          <w:rPr>
            <w:rFonts w:ascii="Cambria Math" w:hAnsi="Cambria Math"/>
          </w:rPr>
          <m:t>SSH</m:t>
        </m:r>
      </m:oMath>
      <w:r w:rsidRPr="00345D61">
        <w:t xml:space="preserve"> i contributi sociali netti e, infine, </w:t>
      </w:r>
      <m:oMath>
        <m:r>
          <w:rPr>
            <w:rFonts w:ascii="Cambria Math" w:hAnsi="Cambria Math"/>
          </w:rPr>
          <m:t>DTH</m:t>
        </m:r>
      </m:oMath>
      <w:r w:rsidRPr="00345D61">
        <w:t xml:space="preserve"> le imposte dirette versate.</w:t>
      </w:r>
    </w:p>
    <w:p w14:paraId="2C4AF0A1" w14:textId="77777777" w:rsidR="00632447" w:rsidRPr="002A40B7" w:rsidRDefault="00632447" w:rsidP="002A40B7">
      <w:pPr>
        <w:pStyle w:val="013titolosottoparagrafo"/>
      </w:pPr>
      <w:r w:rsidRPr="002A40B7">
        <w:t xml:space="preserve">Le Imprese </w:t>
      </w:r>
    </w:p>
    <w:p w14:paraId="51FE24A2" w14:textId="77777777" w:rsidR="00632447" w:rsidRPr="00345D61" w:rsidRDefault="00632447" w:rsidP="00632447">
      <w:pPr>
        <w:pStyle w:val="01testo"/>
        <w:rPr>
          <w:spacing w:val="6"/>
        </w:rPr>
      </w:pPr>
      <w:r w:rsidRPr="00345D61">
        <w:rPr>
          <w:spacing w:val="6"/>
        </w:rPr>
        <w:t>Le imprese partecipano alla realtà economica stilizzata dal modello realizzando investimenti in macchine e attrezzature e altri beni produttivi che, espressi come quota sul prodotto potenziale, sono caratterizzati da un fattore di persistenza, dal costo d’uso del capitale, dal risultato lordo di gestione (inteso come una misura di sintesi di profitti e autofinanziamento) e dal grado di incertezza (misurato dalla volatilità condizionale dei disturbi del ciclo economico).</w:t>
      </w:r>
    </w:p>
    <w:p w14:paraId="1DD03405" w14:textId="77777777" w:rsidR="00632447" w:rsidRPr="00345D61" w:rsidRDefault="00632447" w:rsidP="00632447">
      <w:pPr>
        <w:pStyle w:val="01testo"/>
      </w:pPr>
      <w:r w:rsidRPr="00345D61">
        <w:t xml:space="preserve">Il costo d’uso misura il prezzo di servizi produttivi generati da un bene capitale. Si ipotizza che esso sia funzione del costo di finanziamento (o il costo opportunità di rinunciare ad un investimento alternativo nel caso di autofinanziamento), del deprezzamento economico che il bene capitale subisce nel periodo di utilizzo e dei guadagni o le perdite in conto capitale dovuti ad aumenti/diminuzioni del prezzo d’acquisto del bene. </w:t>
      </w:r>
    </w:p>
    <w:p w14:paraId="57685D23" w14:textId="77777777" w:rsidR="00632447" w:rsidRPr="002A40B7" w:rsidRDefault="00632447" w:rsidP="002A40B7">
      <w:pPr>
        <w:pStyle w:val="013titolosottoparagrafo"/>
      </w:pPr>
      <w:r w:rsidRPr="002A40B7">
        <w:t>Le Amministrazioni Pubbliche</w:t>
      </w:r>
    </w:p>
    <w:p w14:paraId="59C9DFD4" w14:textId="77777777" w:rsidR="00632447" w:rsidRPr="00345D61" w:rsidRDefault="00632447" w:rsidP="00632447">
      <w:pPr>
        <w:pStyle w:val="01testo"/>
      </w:pPr>
      <w:r w:rsidRPr="00345D61">
        <w:t xml:space="preserve">La descrizione del settore pubblico all’interno del modello MEMo-It segue un approccio di tipo istituzionale, caratterizzato da identità e relazioni algebriche che riproducono in modo stilizzato le regole contabili (SEC95) e le normative che definiscono gli andamenti dei principali aggregati del conto economico consolidato delle Amministrazioni Pubbliche (AP). </w:t>
      </w:r>
    </w:p>
    <w:p w14:paraId="309CB93C" w14:textId="77777777" w:rsidR="00632447" w:rsidRPr="00345D61" w:rsidRDefault="00632447" w:rsidP="00632447">
      <w:pPr>
        <w:pStyle w:val="01testo"/>
      </w:pPr>
      <w:r w:rsidRPr="00345D61">
        <w:lastRenderedPageBreak/>
        <w:t>Le relazioni dirette tra AP ed il resto del sistema economico si esplicano attraverso gli effetti sulla domanda totale esercitati dalla spesa per consumi finali delle AP, dagli investimenti pubblici e dai redditi erogati dal settore pubblico. Le AP agiscono anche sui prezzi (mediante le aliquote delle imposte indirette nette), sul costo del lavoro unitario (mediante le aliquote dei contributi sociali), sul reddito disponibile (mediante prelievo fiscale diretto ed i trasferimenti).</w:t>
      </w:r>
    </w:p>
    <w:p w14:paraId="077AF7E2" w14:textId="77777777" w:rsidR="00632447" w:rsidRPr="00345D61" w:rsidRDefault="00632447" w:rsidP="00632447">
      <w:pPr>
        <w:pStyle w:val="01testo"/>
      </w:pPr>
      <w:r w:rsidRPr="00345D61">
        <w:t xml:space="preserve">Le uscite totali delle AP sono disaggregate in spesa per consumi finali, contributi alla produzione, interessi passivi, investimenti fissi lordi, contributi agli investimenti e una variabile residuale esogena che raccoglie le rimanenti voci di spesa del conto delle AP. L’aggregato della spesa per consumi finali è dato dalla somma di due componenti: la spesa diretta e i redditi da lavoro dipendente, questi ultimi ottenuti dalla retribuzione media pro-capite riferita al settore pubblico e stimata nel blocco relativo al mercato del lavoro e dal numero dei dipendenti pubblici. </w:t>
      </w:r>
    </w:p>
    <w:p w14:paraId="13845EB7" w14:textId="77777777" w:rsidR="00632447" w:rsidRPr="00345D61" w:rsidRDefault="00632447" w:rsidP="00632447">
      <w:pPr>
        <w:pStyle w:val="01testo"/>
      </w:pPr>
      <w:r w:rsidRPr="00345D61">
        <w:t>La spesa diretta in volume e il numero di dipendenti sono considerate esogene e costituiscono variabili strumento della politica fiscale. Gli investimenti pubblici sono considerati esogeni in termini reali ed il relativo deflatore è ottenuto nel blocco relativo alla formazione dei prezzi. Le prestazioni sociali in termini nominali, infine, sono collegate alla struttura per età della popolazione e a un indicatore di prezzo. I contributi alla produzione ed i contributi agli investimenti sono legati rispettivamente al valore aggiunto ed agli investimenti del settore privato mediante un coefficiente che esprime la percentuale di contribuzione al settore privato.</w:t>
      </w:r>
    </w:p>
    <w:p w14:paraId="58323C24" w14:textId="77777777" w:rsidR="00632447" w:rsidRPr="00345D61" w:rsidRDefault="00632447" w:rsidP="00632447">
      <w:pPr>
        <w:pStyle w:val="01testo"/>
      </w:pPr>
      <w:r w:rsidRPr="00345D61">
        <w:t>Le entrate totali sono disaggregate in contributi sociali, imposte indirette, imposte dirette ed una voce residuale esogena. I contributi sociali sono calcolati come somma dei contributi pagati dai datori di lavoro, quelli a carico dei lavoratori dipendenti e quelli versati dai lavoratori autonomi. Alla base di calcolo si applicano specifiche aliquote media effettive.</w:t>
      </w:r>
    </w:p>
    <w:p w14:paraId="1A3A0A9F" w14:textId="77777777" w:rsidR="00632447" w:rsidRPr="00345D61" w:rsidRDefault="00632447" w:rsidP="00632447">
      <w:pPr>
        <w:pStyle w:val="01testo"/>
        <w:rPr>
          <w:spacing w:val="6"/>
        </w:rPr>
      </w:pPr>
      <w:r w:rsidRPr="00345D61">
        <w:rPr>
          <w:spacing w:val="6"/>
        </w:rPr>
        <w:t>Le imposte indirette sono date dalla somma dei gettiti derivanti dall’Imposta sul valore aggiunto (IVA), dall’Imposta sulle attività produttive (IRAP) e dalle accise sugli oli minerali e derivati, cui si aggiunge una voce residuale esogena. Anche in questo caso si definiscono appropriate aliquote medie effettive che il modello considera esogene. Il gettito dell’imposta sugli oli minerali e derivati viene calcolato mediante due equazioni: nella prima si quantifica l’intensità energetica del prodotto interno lordo (in funzione di persistenza e del prezzo in euro del barile); nella seconda si calcola il gettito moltiplicando un’aliquota media effettiva (esogena) per il consumo energetico.</w:t>
      </w:r>
    </w:p>
    <w:p w14:paraId="3FB62B90" w14:textId="77777777" w:rsidR="00632447" w:rsidRPr="00345D61" w:rsidRDefault="00632447" w:rsidP="00632447">
      <w:pPr>
        <w:pStyle w:val="01testo"/>
      </w:pPr>
      <w:r w:rsidRPr="00345D61">
        <w:t>A partire da aliquote medie effettive esogene, le imposte dirette vengono calcolate come somma dei gettiti derivanti dall’Imposta sul reddito delle persone fisiche, dall’Imposta sul reddito delle società, dall’imposta sostitutiva sugli interessi e su altri redditi da capitale, e da una voce residuale esogena. Infine, l’imposta sostitutiva sugli interessi e sugli altri redditi da capitale è stimata in funzione del relativo gettito dell’anno precedente, del prodotto, della variazione dei tassi di interesse e delle nuove attività finanziarie, approssimate dal risparmio delle famiglie.</w:t>
      </w:r>
    </w:p>
    <w:p w14:paraId="4AB1F6D3" w14:textId="77777777" w:rsidR="00632447" w:rsidRPr="00345D61" w:rsidRDefault="00632447" w:rsidP="00632447">
      <w:pPr>
        <w:pStyle w:val="01testo"/>
        <w:rPr>
          <w:spacing w:val="-4"/>
        </w:rPr>
      </w:pPr>
      <w:r w:rsidRPr="00345D61">
        <w:rPr>
          <w:spacing w:val="-4"/>
        </w:rPr>
        <w:t>Il saldo del conto economico delle AP è ottenuto dalla differenza tra entrate totali e uscite totali. Lo stock del debito pubblico è calcolato sottraendo dalla consistenza dell’anno precedente il saldo del conto economico delle AP ed aggiungendo una variabile di aggiustamento, esogena, per tener conto di tutti quei fattori che incidono direttamente sul debito senza influenzare il saldo del conto economico (operazioni finanziarie, modifiche di valore degli strumenti finanziari, privatizzazioni, ecc.). Gli interessi passivi sono calcolati moltiplicando il costo medio alla consistenza del debito. Il costo medio del debito pubblico è stimato in funzione di tassi di interesse a breve e a lungo termine.</w:t>
      </w:r>
    </w:p>
    <w:p w14:paraId="2856C961" w14:textId="77777777" w:rsidR="00632447" w:rsidRPr="002A40B7" w:rsidRDefault="00632447" w:rsidP="002A40B7">
      <w:pPr>
        <w:pStyle w:val="013titolosottoparagrafo"/>
      </w:pPr>
      <w:r w:rsidRPr="002A40B7">
        <w:t>Il settore estero</w:t>
      </w:r>
    </w:p>
    <w:p w14:paraId="24786814" w14:textId="77777777" w:rsidR="00632447" w:rsidRPr="00345D61" w:rsidRDefault="00632447" w:rsidP="00632447">
      <w:pPr>
        <w:pStyle w:val="01testo"/>
      </w:pPr>
      <w:r w:rsidRPr="00345D61">
        <w:t>La specificazione del blocco estero si basa sull’identità contabile che definisce il saldo delle transazioni con il resto del mondo:</w:t>
      </w:r>
    </w:p>
    <w:p w14:paraId="3A3D98F0" w14:textId="49292FC2" w:rsidR="00632447" w:rsidRPr="008E2E7D" w:rsidRDefault="008E2E7D" w:rsidP="00632447">
      <w:pPr>
        <w:pStyle w:val="016formula"/>
      </w:pPr>
      <m:oMathPara>
        <m:oMath>
          <m:r>
            <w:rPr>
              <w:rFonts w:ascii="Cambria Math" w:hAnsi="Cambria Math"/>
              <w:caps/>
            </w:rPr>
            <m:t xml:space="preserve">  ROWSALDO</m:t>
          </m:r>
          <m:r>
            <w:rPr>
              <w:rFonts w:ascii="Cambria Math" w:hAnsi="Cambria Math"/>
            </w:rPr>
            <m:t>=</m:t>
          </m:r>
          <m:r>
            <w:rPr>
              <w:rFonts w:ascii="Cambria Math" w:hAnsi="Cambria Math"/>
              <w:caps/>
            </w:rPr>
            <m:t>(XO×PX-MO×PM)+ (WB–WBH)+(APETIND-APUCP–TINDN)+ROWDT+ROWID+ROWSB+ROWOTH</m:t>
          </m:r>
        </m:oMath>
      </m:oMathPara>
    </w:p>
    <w:p w14:paraId="68210893" w14:textId="727FB338" w:rsidR="00632447" w:rsidRPr="00345D61" w:rsidRDefault="00632447" w:rsidP="00632447">
      <w:pPr>
        <w:pStyle w:val="01testo"/>
        <w:rPr>
          <w:spacing w:val="-4"/>
        </w:rPr>
      </w:pPr>
      <w:r w:rsidRPr="00345D61">
        <w:rPr>
          <w:spacing w:val="-4"/>
        </w:rPr>
        <w:t xml:space="preserve">dove </w:t>
      </w:r>
      <m:oMath>
        <m:r>
          <m:rPr>
            <m:sty m:val="p"/>
          </m:rPr>
          <w:rPr>
            <w:rFonts w:ascii="Cambria Math" w:hAnsi="Cambria Math"/>
          </w:rPr>
          <m:t>(</m:t>
        </m:r>
        <m:r>
          <w:rPr>
            <w:rFonts w:ascii="Cambria Math" w:hAnsi="Cambria Math"/>
          </w:rPr>
          <m:t>XO×PX-MO×PM</m:t>
        </m:r>
        <m:r>
          <m:rPr>
            <m:sty m:val="p"/>
          </m:rPr>
          <w:rPr>
            <w:rFonts w:ascii="Cambria Math" w:hAnsi="Cambria Math"/>
          </w:rPr>
          <m:t>)</m:t>
        </m:r>
      </m:oMath>
      <w:r w:rsidRPr="00345D61">
        <w:rPr>
          <w:spacing w:val="-4"/>
        </w:rPr>
        <w:t xml:space="preserve"> rappresenta il saldo della bilancia commerciale in valore (</w:t>
      </w:r>
      <w:r w:rsidRPr="00345D61">
        <w:rPr>
          <w:i/>
          <w:spacing w:val="-4"/>
        </w:rPr>
        <w:t>XO</w:t>
      </w:r>
      <w:r w:rsidRPr="00345D61">
        <w:rPr>
          <w:spacing w:val="-4"/>
        </w:rPr>
        <w:t xml:space="preserve"> e </w:t>
      </w:r>
      <w:r w:rsidRPr="00345D61">
        <w:rPr>
          <w:i/>
          <w:spacing w:val="-4"/>
        </w:rPr>
        <w:t>MO</w:t>
      </w:r>
      <w:r w:rsidRPr="00345D61">
        <w:rPr>
          <w:spacing w:val="-4"/>
        </w:rPr>
        <w:t xml:space="preserve"> sono le esportazioni e le importazioni in quantità </w:t>
      </w:r>
      <w:r w:rsidRPr="00345D61">
        <w:rPr>
          <w:i/>
          <w:spacing w:val="-4"/>
        </w:rPr>
        <w:t>PX</w:t>
      </w:r>
      <w:r w:rsidRPr="00345D61">
        <w:rPr>
          <w:spacing w:val="-4"/>
        </w:rPr>
        <w:t xml:space="preserve"> e </w:t>
      </w:r>
      <w:r w:rsidRPr="00345D61">
        <w:rPr>
          <w:i/>
          <w:spacing w:val="-4"/>
        </w:rPr>
        <w:t>PM</w:t>
      </w:r>
      <w:r w:rsidRPr="00345D61">
        <w:rPr>
          <w:spacing w:val="-4"/>
        </w:rPr>
        <w:t xml:space="preserve"> i rispettivi prezzi); </w:t>
      </w:r>
      <m:oMath>
        <m:r>
          <m:rPr>
            <m:sty m:val="p"/>
          </m:rPr>
          <w:rPr>
            <w:rFonts w:ascii="Cambria Math" w:hAnsi="Cambria Math"/>
          </w:rPr>
          <m:t>(</m:t>
        </m:r>
        <m:r>
          <w:rPr>
            <w:rFonts w:ascii="Cambria Math" w:hAnsi="Cambria Math"/>
          </w:rPr>
          <m:t>WB–WBH</m:t>
        </m:r>
        <m:r>
          <m:rPr>
            <m:sty m:val="p"/>
          </m:rPr>
          <w:rPr>
            <w:rFonts w:ascii="Cambria Math" w:hAnsi="Cambria Math"/>
          </w:rPr>
          <m:t>)</m:t>
        </m:r>
      </m:oMath>
      <w:r w:rsidRPr="00345D61">
        <w:rPr>
          <w:spacing w:val="-4"/>
        </w:rPr>
        <w:t xml:space="preserve"> sono i redditi da lavoro netti dall’estero; </w:t>
      </w:r>
      <m:oMath>
        <m:r>
          <m:rPr>
            <m:sty m:val="p"/>
          </m:rPr>
          <w:rPr>
            <w:rFonts w:ascii="Cambria Math" w:hAnsi="Cambria Math"/>
          </w:rPr>
          <m:t>(</m:t>
        </m:r>
        <m:r>
          <w:rPr>
            <w:rFonts w:ascii="Cambria Math" w:hAnsi="Cambria Math"/>
          </w:rPr>
          <m:t>APETIND-APUCP–TINDN</m:t>
        </m:r>
        <m:r>
          <m:rPr>
            <m:sty m:val="p"/>
          </m:rPr>
          <w:rPr>
            <w:rFonts w:ascii="Cambria Math" w:hAnsi="Cambria Math"/>
          </w:rPr>
          <m:t>)</m:t>
        </m:r>
      </m:oMath>
      <w:r w:rsidRPr="00345D61">
        <w:rPr>
          <w:spacing w:val="-4"/>
        </w:rPr>
        <w:t xml:space="preserve"> sono le imposte indirette nette; </w:t>
      </w:r>
      <m:oMath>
        <m:r>
          <w:rPr>
            <w:rFonts w:ascii="Cambria Math" w:hAnsi="Cambria Math"/>
          </w:rPr>
          <m:t>ROWID</m:t>
        </m:r>
      </m:oMath>
      <w:r w:rsidRPr="00345D61">
        <w:rPr>
          <w:spacing w:val="-4"/>
        </w:rPr>
        <w:t xml:space="preserve"> sono i </w:t>
      </w:r>
      <w:r w:rsidRPr="00345D61">
        <w:rPr>
          <w:spacing w:val="-4"/>
        </w:rPr>
        <w:lastRenderedPageBreak/>
        <w:t xml:space="preserve">redditi netti da capitale; </w:t>
      </w:r>
      <m:oMath>
        <m:r>
          <w:rPr>
            <w:rFonts w:ascii="Cambria Math" w:hAnsi="Cambria Math"/>
          </w:rPr>
          <m:t>ROWDT</m:t>
        </m:r>
      </m:oMath>
      <w:r w:rsidRPr="00345D61">
        <w:rPr>
          <w:spacing w:val="-4"/>
        </w:rPr>
        <w:t xml:space="preserve"> sono le imposte correnti sul reddito sul patrimonio; </w:t>
      </w:r>
      <m:oMath>
        <m:r>
          <w:rPr>
            <w:rFonts w:ascii="Cambria Math" w:hAnsi="Cambria Math"/>
          </w:rPr>
          <m:t>ROWSB</m:t>
        </m:r>
      </m:oMath>
      <w:r w:rsidRPr="00345D61">
        <w:rPr>
          <w:spacing w:val="-4"/>
        </w:rPr>
        <w:t xml:space="preserve"> sono le prestazioni sociali; </w:t>
      </w:r>
      <m:oMath>
        <m:r>
          <w:rPr>
            <w:rFonts w:ascii="Cambria Math" w:hAnsi="Cambria Math"/>
          </w:rPr>
          <m:t>ROWOTH</m:t>
        </m:r>
      </m:oMath>
      <w:r w:rsidRPr="00345D61">
        <w:rPr>
          <w:spacing w:val="-4"/>
        </w:rPr>
        <w:t xml:space="preserve"> sono gli altri trasferimenti.</w:t>
      </w:r>
      <w:r w:rsidRPr="00345D61">
        <w:rPr>
          <w:spacing w:val="-4"/>
          <w:vertAlign w:val="superscript"/>
        </w:rPr>
        <w:footnoteReference w:id="19"/>
      </w:r>
    </w:p>
    <w:p w14:paraId="5652E3FD" w14:textId="77777777" w:rsidR="00632447" w:rsidRPr="002A40B7" w:rsidRDefault="00632447" w:rsidP="00632447">
      <w:pPr>
        <w:pStyle w:val="01testo"/>
        <w:rPr>
          <w:spacing w:val="-4"/>
        </w:rPr>
      </w:pPr>
      <w:r w:rsidRPr="002A40B7">
        <w:rPr>
          <w:spacing w:val="-4"/>
        </w:rPr>
        <w:t>L’approccio teorico alla determinazione del saldo con il resto del mondo adottato nel modello fa riferimento alla letteratura più recente (Lane e Milesi-Ferretti, 2011; Obstfeld e Rogoff, 2010). In particolare, l’equazione delle importazioni di beni e servizi in volume ha la seguente specificazione:</w:t>
      </w:r>
    </w:p>
    <w:p w14:paraId="45015307" w14:textId="23BBBF98" w:rsidR="00632447" w:rsidRPr="008E2E7D" w:rsidRDefault="008E2E7D" w:rsidP="00632447">
      <w:pPr>
        <w:pStyle w:val="016formula"/>
      </w:pPr>
      <m:oMathPara>
        <m:oMath>
          <m:r>
            <w:rPr>
              <w:rFonts w:ascii="Cambria Math" w:hAnsi="Cambria Math"/>
            </w:rPr>
            <m:t>MO=</m:t>
          </m:r>
          <m:sSub>
            <m:sSubPr>
              <m:ctrlPr>
                <w:rPr>
                  <w:rFonts w:ascii="Cambria Math" w:hAnsi="Cambria Math"/>
                </w:rPr>
              </m:ctrlPr>
            </m:sSubPr>
            <m:e>
              <m:r>
                <w:rPr>
                  <w:rFonts w:ascii="Cambria Math" w:hAnsi="Cambria Math"/>
                </w:rPr>
                <m:t>f</m:t>
              </m:r>
            </m:e>
            <m:sub>
              <m:r>
                <w:rPr>
                  <w:rFonts w:ascii="Cambria Math" w:hAnsi="Cambria Math"/>
                </w:rPr>
                <m:t>MO</m:t>
              </m:r>
            </m:sub>
          </m:sSub>
          <m:r>
            <w:rPr>
              <w:rFonts w:ascii="Cambria Math" w:hAnsi="Cambria Math"/>
            </w:rPr>
            <m:t>(DDO,PM, GAP)</m:t>
          </m:r>
        </m:oMath>
      </m:oMathPara>
    </w:p>
    <w:p w14:paraId="5EDAFF85" w14:textId="530D31DB" w:rsidR="00632447" w:rsidRPr="00345D61" w:rsidRDefault="00632447" w:rsidP="00632447">
      <w:pPr>
        <w:pStyle w:val="01testo"/>
      </w:pPr>
      <w:r w:rsidRPr="00345D61">
        <w:t xml:space="preserve">dove </w:t>
      </w:r>
      <m:oMath>
        <m:r>
          <w:rPr>
            <w:rFonts w:ascii="Cambria Math" w:hAnsi="Cambria Math"/>
          </w:rPr>
          <m:t>DDO</m:t>
        </m:r>
      </m:oMath>
      <w:r w:rsidRPr="00345D61">
        <w:t xml:space="preserve"> è la domanda interna in termini reali, </w:t>
      </w:r>
      <m:oMath>
        <m:r>
          <w:rPr>
            <w:rFonts w:ascii="Cambria Math" w:hAnsi="Cambria Math"/>
          </w:rPr>
          <m:t>PM</m:t>
        </m:r>
      </m:oMath>
      <w:r w:rsidRPr="00345D61">
        <w:t xml:space="preserve"> è il deflatore delle importazioni e </w:t>
      </w:r>
      <m:oMath>
        <m:r>
          <w:rPr>
            <w:rFonts w:ascii="Cambria Math" w:hAnsi="Cambria Math"/>
          </w:rPr>
          <m:t>GAP</m:t>
        </m:r>
      </m:oMath>
      <w:r w:rsidRPr="00345D61">
        <w:t xml:space="preserve"> misura gli effetti delle fluttuazioni cicliche di breve periodo.</w:t>
      </w:r>
    </w:p>
    <w:p w14:paraId="12897234" w14:textId="77777777" w:rsidR="00632447" w:rsidRPr="00345D61" w:rsidRDefault="00632447" w:rsidP="00632447">
      <w:pPr>
        <w:pStyle w:val="01testo"/>
      </w:pPr>
      <w:r w:rsidRPr="00345D61">
        <w:t>L’equazione delle esportazioni in volume è espressa come segue:</w:t>
      </w:r>
    </w:p>
    <w:p w14:paraId="3DEEE30C" w14:textId="464DF835" w:rsidR="00632447" w:rsidRPr="008E2E7D" w:rsidRDefault="008E2E7D" w:rsidP="00632447">
      <w:pPr>
        <w:pStyle w:val="016formula"/>
      </w:pPr>
      <m:oMathPara>
        <m:oMath>
          <m:r>
            <w:rPr>
              <w:rFonts w:ascii="Cambria Math" w:hAnsi="Cambria Math"/>
            </w:rPr>
            <m:t>XO=</m:t>
          </m:r>
          <m:sSub>
            <m:sSubPr>
              <m:ctrlPr>
                <w:rPr>
                  <w:rFonts w:ascii="Cambria Math" w:hAnsi="Cambria Math"/>
                </w:rPr>
              </m:ctrlPr>
            </m:sSubPr>
            <m:e>
              <m:r>
                <w:rPr>
                  <w:rFonts w:ascii="Cambria Math" w:hAnsi="Cambria Math"/>
                </w:rPr>
                <m:t>f</m:t>
              </m:r>
            </m:e>
            <m:sub>
              <m:r>
                <w:rPr>
                  <w:rFonts w:ascii="Cambria Math" w:hAnsi="Cambria Math"/>
                </w:rPr>
                <m:t>XO</m:t>
              </m:r>
            </m:sub>
          </m:sSub>
          <m:r>
            <w:rPr>
              <w:rFonts w:ascii="Cambria Math" w:hAnsi="Cambria Math"/>
            </w:rPr>
            <m:t>(WDXXTR, ITXRXER)</m:t>
          </m:r>
        </m:oMath>
      </m:oMathPara>
    </w:p>
    <w:p w14:paraId="10891901" w14:textId="77777777" w:rsidR="00632447" w:rsidRPr="00345D61" w:rsidRDefault="00632447" w:rsidP="00632447">
      <w:pPr>
        <w:pStyle w:val="01testo"/>
      </w:pPr>
      <w:r w:rsidRPr="00345D61">
        <w:t xml:space="preserve">dove </w:t>
      </w:r>
      <w:r w:rsidRPr="00345D61">
        <w:rPr>
          <w:i/>
        </w:rPr>
        <w:t>WDXXTR</w:t>
      </w:r>
      <w:r w:rsidRPr="00345D61">
        <w:t xml:space="preserve"> rappresenta il valore delle esportazioni mondiali e </w:t>
      </w:r>
      <w:r w:rsidRPr="00345D61">
        <w:rPr>
          <w:i/>
        </w:rPr>
        <w:t>ITXRXER</w:t>
      </w:r>
      <w:r w:rsidRPr="00345D61">
        <w:t xml:space="preserve"> il tasso di cambio reale effettivo.</w:t>
      </w:r>
    </w:p>
    <w:p w14:paraId="76910670" w14:textId="77777777" w:rsidR="00632447" w:rsidRPr="00345D61" w:rsidRDefault="00632447" w:rsidP="00632447">
      <w:pPr>
        <w:pStyle w:val="01testo"/>
      </w:pPr>
      <w:r w:rsidRPr="00345D61">
        <w:t>I redditi da capitale netti (che includono principalmente utili e dividendi) sono derivati attraverso la seguente funzione:</w:t>
      </w:r>
    </w:p>
    <w:p w14:paraId="34B0F70A" w14:textId="3AC754B5" w:rsidR="00632447" w:rsidRPr="008E2E7D" w:rsidRDefault="008E2E7D" w:rsidP="00632447">
      <w:pPr>
        <w:pStyle w:val="016formula"/>
      </w:pPr>
      <m:oMathPara>
        <m:oMath>
          <m:r>
            <w:rPr>
              <w:rFonts w:ascii="Cambria Math" w:hAnsi="Cambria Math"/>
            </w:rPr>
            <m:t>ROWID=</m:t>
          </m:r>
          <m:sSub>
            <m:sSubPr>
              <m:ctrlPr>
                <w:rPr>
                  <w:rFonts w:ascii="Cambria Math" w:hAnsi="Cambria Math"/>
                </w:rPr>
              </m:ctrlPr>
            </m:sSubPr>
            <m:e>
              <m:r>
                <w:rPr>
                  <w:rFonts w:ascii="Cambria Math" w:hAnsi="Cambria Math"/>
                </w:rPr>
                <m:t>f</m:t>
              </m:r>
            </m:e>
            <m:sub>
              <m:r>
                <w:rPr>
                  <w:rFonts w:ascii="Cambria Math" w:hAnsi="Cambria Math"/>
                </w:rPr>
                <m:t>ROWID</m:t>
              </m:r>
            </m:sub>
          </m:sSub>
          <m:r>
            <w:rPr>
              <w:rFonts w:ascii="Cambria Math" w:hAnsi="Cambria Math"/>
            </w:rPr>
            <m:t>(APSALDO)</m:t>
          </m:r>
        </m:oMath>
      </m:oMathPara>
    </w:p>
    <w:p w14:paraId="04021A52" w14:textId="36CD3DF4" w:rsidR="00632447" w:rsidRPr="002A40B7" w:rsidRDefault="00632447" w:rsidP="00632447">
      <w:pPr>
        <w:pStyle w:val="01testo"/>
        <w:rPr>
          <w:spacing w:val="-2"/>
        </w:rPr>
      </w:pPr>
      <w:r w:rsidRPr="002A40B7">
        <w:rPr>
          <w:spacing w:val="-2"/>
        </w:rPr>
        <w:t xml:space="preserve">dove </w:t>
      </w:r>
      <m:oMath>
        <m:r>
          <w:rPr>
            <w:rFonts w:ascii="Cambria Math" w:hAnsi="Cambria Math"/>
            <w:spacing w:val="-2"/>
          </w:rPr>
          <m:t>APSALDO</m:t>
        </m:r>
      </m:oMath>
      <w:r w:rsidRPr="002A40B7">
        <w:rPr>
          <w:spacing w:val="-2"/>
        </w:rPr>
        <w:t xml:space="preserve"> è il saldo del conto delle Amministrazioni Pubbliche. L’introduzione di tale variabile è giustificata dal fatto che un miglioramento del saldo delle AP è atteso ridurre il premio al rischio (Lane e Milesi-Ferretti, 2011; Caporale e Williams, 2002) e per questa via migliorare il saldo dei redditi da capitale (principalmente attraverso una riduzione della componente di interessi).</w:t>
      </w:r>
    </w:p>
    <w:p w14:paraId="5FB86D8A" w14:textId="77777777" w:rsidR="00632447" w:rsidRPr="00345D61" w:rsidRDefault="00632447" w:rsidP="00632447">
      <w:pPr>
        <w:pStyle w:val="01testo"/>
      </w:pPr>
      <w:r w:rsidRPr="00345D61">
        <w:t>Infine, l’equazione degli altri trasferimenti (che accorpano il saldo dei trasferimenti pubblici e privati sia in conto corrente sia in conto capitale) è data da:</w:t>
      </w:r>
    </w:p>
    <w:p w14:paraId="414F385A" w14:textId="5C49A0E9" w:rsidR="00632447" w:rsidRPr="008E2E7D" w:rsidRDefault="008E2E7D" w:rsidP="00632447">
      <w:pPr>
        <w:pStyle w:val="016formula"/>
      </w:pPr>
      <m:oMathPara>
        <m:oMath>
          <m:r>
            <w:rPr>
              <w:rFonts w:ascii="Cambria Math" w:hAnsi="Cambria Math"/>
            </w:rPr>
            <m:t>ROWOTH=</m:t>
          </m:r>
          <m:sSub>
            <m:sSubPr>
              <m:ctrlPr>
                <w:rPr>
                  <w:rFonts w:ascii="Cambria Math" w:hAnsi="Cambria Math"/>
                </w:rPr>
              </m:ctrlPr>
            </m:sSubPr>
            <m:e>
              <m:r>
                <w:rPr>
                  <w:rFonts w:ascii="Cambria Math" w:hAnsi="Cambria Math"/>
                </w:rPr>
                <m:t>f</m:t>
              </m:r>
            </m:e>
            <m:sub>
              <m:r>
                <w:rPr>
                  <w:rFonts w:ascii="Cambria Math" w:hAnsi="Cambria Math"/>
                </w:rPr>
                <m:t>ROWOTH</m:t>
              </m:r>
            </m:sub>
          </m:sSub>
          <m:r>
            <w:rPr>
              <w:rFonts w:ascii="Cambria Math" w:hAnsi="Cambria Math"/>
            </w:rPr>
            <m:t>(ITALIA)</m:t>
          </m:r>
        </m:oMath>
      </m:oMathPara>
    </w:p>
    <w:p w14:paraId="173199C8" w14:textId="63AFA5ED" w:rsidR="00632447" w:rsidRPr="00345D61" w:rsidRDefault="00632447" w:rsidP="00632447">
      <w:pPr>
        <w:pStyle w:val="01testo"/>
      </w:pPr>
      <w:r w:rsidRPr="00345D61">
        <w:t xml:space="preserve">dove </w:t>
      </w:r>
      <m:oMath>
        <m:r>
          <w:rPr>
            <w:rFonts w:ascii="Cambria Math" w:hAnsi="Cambria Math"/>
          </w:rPr>
          <m:t>ITALIA</m:t>
        </m:r>
      </m:oMath>
      <w:r w:rsidRPr="00345D61">
        <w:t xml:space="preserve"> approssima la quota di export italiano, che si ipotizza abbia una relazione inversa con i trasferimenti in entrata.</w:t>
      </w:r>
    </w:p>
    <w:p w14:paraId="64E55343" w14:textId="77777777" w:rsidR="00632447" w:rsidRPr="002A40B7" w:rsidRDefault="00632447" w:rsidP="002A40B7">
      <w:pPr>
        <w:pStyle w:val="012titoloparagrafo"/>
        <w:rPr>
          <w:spacing w:val="-9"/>
        </w:rPr>
      </w:pPr>
      <w:r w:rsidRPr="002A40B7">
        <w:rPr>
          <w:spacing w:val="-9"/>
        </w:rPr>
        <w:t>Le serie storiche utilizzate per la stima del modello e il trattamento delle variabili esogene</w:t>
      </w:r>
    </w:p>
    <w:p w14:paraId="4CB827BA" w14:textId="77777777" w:rsidR="0018579D" w:rsidRPr="00345D61" w:rsidRDefault="0018579D" w:rsidP="0018579D">
      <w:pPr>
        <w:pStyle w:val="01testo"/>
      </w:pPr>
      <w:r w:rsidRPr="00345D61">
        <w:t>Il modello è svilup</w:t>
      </w:r>
      <w:r>
        <w:t>pato a partire da un input di 142</w:t>
      </w:r>
      <w:r w:rsidRPr="00345D61">
        <w:t xml:space="preserve"> serie storiche di base a frequenza annuale riferite ad un periodo t</w:t>
      </w:r>
      <w:r>
        <w:t>emporale che va dal 1970 al 201</w:t>
      </w:r>
      <w:r w:rsidR="00F13994">
        <w:t>8</w:t>
      </w:r>
      <w:r w:rsidRPr="00345D61">
        <w:t xml:space="preserve">. Il processo di stima del modello genera in tutto </w:t>
      </w:r>
      <w:r>
        <w:t>222</w:t>
      </w:r>
      <w:r w:rsidRPr="00345D61">
        <w:t xml:space="preserve"> va</w:t>
      </w:r>
      <w:r>
        <w:t>riabili, di cui 157 endogene (66 stocastiche e 91</w:t>
      </w:r>
      <w:r w:rsidRPr="00345D61">
        <w:t xml:space="preserve"> identità) e 65 esogene (di cui 9 di scenario).</w:t>
      </w:r>
    </w:p>
    <w:p w14:paraId="4FD8E41C" w14:textId="77777777" w:rsidR="003634D7" w:rsidRDefault="0018579D" w:rsidP="0018579D">
      <w:pPr>
        <w:pStyle w:val="01testo"/>
        <w:rPr>
          <w:spacing w:val="2"/>
        </w:rPr>
      </w:pPr>
      <w:r w:rsidRPr="002A40B7">
        <w:rPr>
          <w:spacing w:val="2"/>
        </w:rPr>
        <w:t xml:space="preserve">Un’ampia parte delle variabili di input sono di fonte contabilità nazionale che, a </w:t>
      </w:r>
      <w:r w:rsidR="003634D7">
        <w:rPr>
          <w:spacing w:val="2"/>
        </w:rPr>
        <w:t>settembre</w:t>
      </w:r>
      <w:r w:rsidRPr="002A40B7">
        <w:rPr>
          <w:spacing w:val="2"/>
        </w:rPr>
        <w:t xml:space="preserve"> 201</w:t>
      </w:r>
      <w:r w:rsidR="00F13994">
        <w:rPr>
          <w:spacing w:val="2"/>
        </w:rPr>
        <w:t>9</w:t>
      </w:r>
      <w:r w:rsidRPr="002A40B7">
        <w:rPr>
          <w:spacing w:val="2"/>
        </w:rPr>
        <w:t xml:space="preserve">, ha rilasciato </w:t>
      </w:r>
      <w:r w:rsidR="003634D7">
        <w:rPr>
          <w:spacing w:val="2"/>
        </w:rPr>
        <w:t xml:space="preserve">le stime </w:t>
      </w:r>
      <w:r w:rsidR="003634D7" w:rsidRPr="003634D7">
        <w:rPr>
          <w:spacing w:val="2"/>
        </w:rPr>
        <w:t xml:space="preserve">relative alla revisione generale dei Conti Economici Nazionali, concordata in sede europea a cinque anni dal passaggio al SEC 2010 e che </w:t>
      </w:r>
      <w:r w:rsidR="003634D7">
        <w:rPr>
          <w:spacing w:val="2"/>
        </w:rPr>
        <w:t xml:space="preserve">ha </w:t>
      </w:r>
      <w:r w:rsidR="003634D7" w:rsidRPr="003634D7">
        <w:rPr>
          <w:spacing w:val="2"/>
        </w:rPr>
        <w:t>introd</w:t>
      </w:r>
      <w:r w:rsidR="003634D7">
        <w:rPr>
          <w:spacing w:val="2"/>
        </w:rPr>
        <w:t>otto</w:t>
      </w:r>
      <w:r w:rsidR="003634D7" w:rsidRPr="003634D7">
        <w:rPr>
          <w:spacing w:val="2"/>
        </w:rPr>
        <w:t xml:space="preserve"> innovazioni e miglioramenti di metodi e di fonti.</w:t>
      </w:r>
    </w:p>
    <w:p w14:paraId="4EB3E255" w14:textId="77777777" w:rsidR="0018579D" w:rsidRPr="00345D61" w:rsidRDefault="0018579D" w:rsidP="0018579D">
      <w:pPr>
        <w:pStyle w:val="01testo"/>
      </w:pPr>
      <w:r w:rsidRPr="00345D61">
        <w:t>Ai fini della stima delle relazioni del modello è stata realizzata una ricostruzione dal 1970 al 1991. L’operazione è stata resa agevole dalla contenuta dimensione del modello che, nella versione attuale, non include una disaggregazione per settori economici. La ricostruzione è stata realizzata tenendo conto delle informazioni contenute nelle serie storiche riferite alla precedente classificazione delle attività economiche, dedicando particolare attenzione alla ricostruzione dei valori concatenati per le variabili del quadro macroeconomico. Nel complesso, l’operazione ha permesso di riportare al 1970 gli aggregati della nuova contabilità nazionale utilizzati dal modello per finalità di specificazione e stima.</w:t>
      </w:r>
    </w:p>
    <w:p w14:paraId="65FEC0C0" w14:textId="77777777" w:rsidR="003634D7" w:rsidRDefault="0018579D" w:rsidP="003634D7">
      <w:pPr>
        <w:pStyle w:val="01testo"/>
      </w:pPr>
      <w:r w:rsidRPr="00345D61">
        <w:t xml:space="preserve">Le previsioni sono state realizzate utilizzando per le variabili demografiche gli scenari previsivi disponibili su </w:t>
      </w:r>
      <w:r w:rsidRPr="00345D61">
        <w:rPr>
          <w:u w:val="single"/>
        </w:rPr>
        <w:t>demo.istat.it</w:t>
      </w:r>
      <w:r w:rsidRPr="00345D61">
        <w:t xml:space="preserve"> e per le variabili di finanza pubblica le ipotesi contenute all’interno </w:t>
      </w:r>
      <w:r>
        <w:t xml:space="preserve">della </w:t>
      </w:r>
      <w:r w:rsidR="00BF094B">
        <w:t>Documento di Economia e Finanza (DEF2020) e dei provvedimenti presentati dal Governo per fronteggiare l’emergenza COVID-19</w:t>
      </w:r>
      <w:r>
        <w:t>.</w:t>
      </w:r>
      <w:r w:rsidR="003634D7">
        <w:t xml:space="preserve"> </w:t>
      </w:r>
    </w:p>
    <w:p w14:paraId="1369A9F3" w14:textId="77777777" w:rsidR="00632447" w:rsidRPr="002C4684" w:rsidRDefault="00632447" w:rsidP="003634D7">
      <w:pPr>
        <w:pStyle w:val="01testo"/>
        <w:rPr>
          <w:b/>
        </w:rPr>
      </w:pPr>
      <w:r w:rsidRPr="002C4684">
        <w:rPr>
          <w:b/>
        </w:rPr>
        <w:lastRenderedPageBreak/>
        <w:t>Riferimenti bibliografici</w:t>
      </w:r>
    </w:p>
    <w:p w14:paraId="64F0ECEF" w14:textId="77777777" w:rsidR="00836BF5" w:rsidRPr="000F07A0" w:rsidRDefault="00836BF5" w:rsidP="00836BF5">
      <w:pPr>
        <w:pStyle w:val="09bibliografia"/>
        <w:rPr>
          <w:lang w:val="en-GB"/>
        </w:rPr>
      </w:pPr>
      <w:r w:rsidRPr="000F07A0">
        <w:rPr>
          <w:lang w:val="it-IT"/>
        </w:rPr>
        <w:t xml:space="preserve">Bacchini, F., Golinelli, R., Jona-Lasinio, C., &amp; Zurlo, D. (2020). </w:t>
      </w:r>
      <w:r w:rsidRPr="000F07A0">
        <w:rPr>
          <w:lang w:val="en-GB"/>
        </w:rPr>
        <w:t>Modelling public and private investment in innovation. GROWINPRO Working paper n. 6/2020</w:t>
      </w:r>
    </w:p>
    <w:p w14:paraId="57A97AA9" w14:textId="745EDFC9" w:rsidR="00F476D0" w:rsidRPr="00A66556" w:rsidRDefault="00F5313E" w:rsidP="00632447">
      <w:pPr>
        <w:pStyle w:val="09bibliografia"/>
        <w:rPr>
          <w:rFonts w:cs="Arial"/>
          <w:spacing w:val="-4"/>
          <w:szCs w:val="20"/>
        </w:rPr>
      </w:pPr>
      <w:r w:rsidRPr="00F5313E">
        <w:rPr>
          <w:lang w:val="it-IT"/>
        </w:rPr>
        <w:t xml:space="preserve">Bacchini, F., Bontempi, M. E., Golinelli, R., &amp; Jona-Lasinio, C. (2018). </w:t>
      </w:r>
      <w:r>
        <w:t xml:space="preserve">Short-and long-run heterogeneous investment dynamics. </w:t>
      </w:r>
      <w:r>
        <w:rPr>
          <w:i/>
          <w:iCs w:val="0"/>
        </w:rPr>
        <w:t>Empirical Economics</w:t>
      </w:r>
      <w:r>
        <w:t xml:space="preserve">, </w:t>
      </w:r>
      <w:r>
        <w:rPr>
          <w:i/>
          <w:iCs w:val="0"/>
        </w:rPr>
        <w:t>54</w:t>
      </w:r>
      <w:r>
        <w:t>(2), 343-378.</w:t>
      </w:r>
    </w:p>
    <w:p w14:paraId="1BD385C1" w14:textId="77777777" w:rsidR="00F5313E" w:rsidRPr="00A66556" w:rsidRDefault="00F5313E" w:rsidP="00632447">
      <w:pPr>
        <w:pStyle w:val="09bibliografia"/>
        <w:rPr>
          <w:rFonts w:cs="Arial"/>
          <w:spacing w:val="-4"/>
          <w:szCs w:val="20"/>
        </w:rPr>
      </w:pPr>
      <w:r>
        <w:t xml:space="preserve">Bacchini, Fabio, et al. "Building the core of the Istat system of models for forecasting the Italian economy: MeMo-It." </w:t>
      </w:r>
      <w:r>
        <w:rPr>
          <w:i/>
          <w:iCs w:val="0"/>
        </w:rPr>
        <w:t>Rivista di statistica ufficiale</w:t>
      </w:r>
      <w:r>
        <w:t xml:space="preserve"> 15.1 (2013): 17-45.</w:t>
      </w:r>
    </w:p>
    <w:p w14:paraId="1CBF0738" w14:textId="77777777" w:rsidR="00632447" w:rsidRPr="00345D61" w:rsidRDefault="00632447" w:rsidP="00632447">
      <w:pPr>
        <w:pStyle w:val="09bibliografia"/>
        <w:rPr>
          <w:rFonts w:cs="Arial"/>
          <w:spacing w:val="-4"/>
          <w:szCs w:val="20"/>
        </w:rPr>
      </w:pPr>
      <w:r w:rsidRPr="00345D61">
        <w:rPr>
          <w:rFonts w:cs="Arial"/>
          <w:spacing w:val="-4"/>
          <w:szCs w:val="20"/>
        </w:rPr>
        <w:t xml:space="preserve">Bassanetti, A. e F. Zollino (2008), “The effects of housing and financial wealth on personal consumption: aggregate evidence for Italian households” in </w:t>
      </w:r>
      <w:r w:rsidRPr="00345D61">
        <w:rPr>
          <w:rFonts w:cs="Arial"/>
          <w:i/>
          <w:spacing w:val="-4"/>
          <w:szCs w:val="20"/>
        </w:rPr>
        <w:t>Household wealth in Italy</w:t>
      </w:r>
      <w:r w:rsidRPr="00345D61">
        <w:rPr>
          <w:rFonts w:cs="Arial"/>
          <w:spacing w:val="-4"/>
          <w:szCs w:val="20"/>
        </w:rPr>
        <w:t>, Banca d’Italia.</w:t>
      </w:r>
    </w:p>
    <w:p w14:paraId="6784BB78" w14:textId="77777777" w:rsidR="00632447" w:rsidRPr="00345D61" w:rsidRDefault="00632447" w:rsidP="00632447">
      <w:pPr>
        <w:pStyle w:val="09bibliografia"/>
        <w:rPr>
          <w:rFonts w:cs="Arial"/>
          <w:szCs w:val="20"/>
          <w:lang w:val="it-IT"/>
        </w:rPr>
      </w:pPr>
      <w:r w:rsidRPr="00345D61">
        <w:rPr>
          <w:rFonts w:cs="Arial"/>
          <w:szCs w:val="20"/>
          <w:lang w:val="it-IT"/>
        </w:rPr>
        <w:t>Bodo, G., I. Visco (1987</w:t>
      </w:r>
      <w:r w:rsidR="008C68AF">
        <w:rPr>
          <w:rFonts w:cs="Arial"/>
          <w:szCs w:val="20"/>
          <w:lang w:val="it-IT"/>
        </w:rPr>
        <w:t>), “La disoccupazione in Italia</w:t>
      </w:r>
      <w:r w:rsidRPr="00345D61">
        <w:rPr>
          <w:rFonts w:cs="Arial"/>
          <w:szCs w:val="20"/>
          <w:lang w:val="it-IT"/>
        </w:rPr>
        <w:t xml:space="preserve">: un'analisi con il modello econometrico della Banca d'Italia”, </w:t>
      </w:r>
      <w:r w:rsidRPr="00345D61">
        <w:rPr>
          <w:rFonts w:cs="Arial"/>
          <w:i/>
          <w:szCs w:val="20"/>
          <w:lang w:val="it-IT"/>
        </w:rPr>
        <w:t>Temi di discussione</w:t>
      </w:r>
      <w:r w:rsidRPr="00345D61">
        <w:rPr>
          <w:rFonts w:cs="Arial"/>
          <w:szCs w:val="20"/>
          <w:lang w:val="it-IT"/>
        </w:rPr>
        <w:t>,No. 91.</w:t>
      </w:r>
    </w:p>
    <w:p w14:paraId="6A18D969" w14:textId="77777777" w:rsidR="00632447" w:rsidRPr="00345D61" w:rsidRDefault="00632447" w:rsidP="00632447">
      <w:pPr>
        <w:pStyle w:val="09bibliografia"/>
        <w:rPr>
          <w:rFonts w:cs="Arial"/>
          <w:szCs w:val="20"/>
        </w:rPr>
      </w:pPr>
      <w:r w:rsidRPr="00345D61">
        <w:rPr>
          <w:rFonts w:cs="Arial"/>
          <w:szCs w:val="20"/>
        </w:rPr>
        <w:t xml:space="preserve">Caporale, G. M. e Williams, 2002 “Long-term nominal interest rates and domestic fundamentals”, </w:t>
      </w:r>
      <w:r w:rsidRPr="00345D61">
        <w:rPr>
          <w:rFonts w:cs="Arial"/>
          <w:i/>
          <w:szCs w:val="20"/>
        </w:rPr>
        <w:t>Review of Financial Economics</w:t>
      </w:r>
      <w:r w:rsidRPr="00345D61">
        <w:rPr>
          <w:rFonts w:cs="Arial"/>
          <w:szCs w:val="20"/>
        </w:rPr>
        <w:t>, Vol. 11, 119-130.</w:t>
      </w:r>
    </w:p>
    <w:p w14:paraId="565983C9" w14:textId="77777777" w:rsidR="00632447" w:rsidRPr="00345D61" w:rsidRDefault="00632447" w:rsidP="00632447">
      <w:pPr>
        <w:pStyle w:val="09bibliografia"/>
        <w:rPr>
          <w:rFonts w:cs="Arial"/>
          <w:szCs w:val="20"/>
        </w:rPr>
      </w:pPr>
      <w:r w:rsidRPr="00345D61">
        <w:rPr>
          <w:rFonts w:cs="Arial"/>
          <w:szCs w:val="20"/>
        </w:rPr>
        <w:t xml:space="preserve">D'Auria, F., C. Denis, K. Havik, K. Mc Morrow, C. Planas, R. Raciborski, W. Rögere A. Rossi (2010), “The production function methodology for calculating potential growth rates and output gaps”, </w:t>
      </w:r>
      <w:r w:rsidRPr="00345D61">
        <w:rPr>
          <w:rFonts w:cs="Arial"/>
          <w:i/>
          <w:szCs w:val="20"/>
        </w:rPr>
        <w:t>European Commission Economic Papers</w:t>
      </w:r>
      <w:r w:rsidRPr="00345D61">
        <w:rPr>
          <w:rFonts w:cs="Arial"/>
          <w:szCs w:val="20"/>
        </w:rPr>
        <w:t>, No. 420.</w:t>
      </w:r>
    </w:p>
    <w:p w14:paraId="43218C69" w14:textId="77777777" w:rsidR="00632447" w:rsidRPr="00345D61" w:rsidRDefault="00632447" w:rsidP="00632447">
      <w:pPr>
        <w:pStyle w:val="09bibliografia"/>
        <w:rPr>
          <w:rFonts w:cs="Arial"/>
          <w:szCs w:val="20"/>
        </w:rPr>
      </w:pPr>
      <w:r w:rsidRPr="00345D61">
        <w:rPr>
          <w:rFonts w:cs="Arial"/>
          <w:szCs w:val="20"/>
        </w:rPr>
        <w:t xml:space="preserve">De Masi, P. (1997), "IMF Estimates of Potential Output: Theory and Practice", </w:t>
      </w:r>
      <w:r w:rsidRPr="00345D61">
        <w:rPr>
          <w:rFonts w:cs="Arial"/>
          <w:i/>
          <w:szCs w:val="20"/>
        </w:rPr>
        <w:t>Staff Studies for the</w:t>
      </w:r>
      <w:r w:rsidRPr="00345D61">
        <w:rPr>
          <w:rFonts w:cs="Arial"/>
          <w:szCs w:val="20"/>
        </w:rPr>
        <w:t xml:space="preserve"> </w:t>
      </w:r>
      <w:r w:rsidRPr="00345D61">
        <w:rPr>
          <w:rFonts w:cs="Arial"/>
          <w:i/>
          <w:szCs w:val="20"/>
        </w:rPr>
        <w:t>World Economic Outlook</w:t>
      </w:r>
      <w:r w:rsidRPr="00345D61">
        <w:rPr>
          <w:rFonts w:cs="Arial"/>
          <w:szCs w:val="20"/>
        </w:rPr>
        <w:t>, December.</w:t>
      </w:r>
    </w:p>
    <w:p w14:paraId="7914828A" w14:textId="77777777" w:rsidR="00632447" w:rsidRPr="00345D61" w:rsidRDefault="00632447" w:rsidP="00632447">
      <w:pPr>
        <w:pStyle w:val="09bibliografia"/>
        <w:rPr>
          <w:rFonts w:cs="Arial"/>
          <w:szCs w:val="20"/>
        </w:rPr>
      </w:pPr>
      <w:r w:rsidRPr="00345D61">
        <w:rPr>
          <w:rFonts w:cs="Arial"/>
          <w:szCs w:val="20"/>
        </w:rPr>
        <w:t xml:space="preserve">Denis, C., D. Grenouilleau, K. McMorrow e W. Roeger (2006), “Calculating potential growth rates and output gaps. A revised production function approach”, </w:t>
      </w:r>
      <w:r w:rsidRPr="00345D61">
        <w:rPr>
          <w:rFonts w:cs="Arial"/>
          <w:i/>
          <w:szCs w:val="20"/>
        </w:rPr>
        <w:t>European Commission Economic Papers</w:t>
      </w:r>
      <w:r w:rsidRPr="00345D61">
        <w:rPr>
          <w:rFonts w:cs="Arial"/>
          <w:szCs w:val="20"/>
        </w:rPr>
        <w:t>, No. 247.</w:t>
      </w:r>
    </w:p>
    <w:p w14:paraId="22E0E5A4" w14:textId="77777777" w:rsidR="00632447" w:rsidRPr="00345D61" w:rsidRDefault="00632447" w:rsidP="00632447">
      <w:pPr>
        <w:pStyle w:val="09bibliografia"/>
        <w:rPr>
          <w:rFonts w:cs="Arial"/>
          <w:szCs w:val="20"/>
        </w:rPr>
      </w:pPr>
      <w:r w:rsidRPr="00345D61">
        <w:rPr>
          <w:rFonts w:cs="Arial"/>
          <w:szCs w:val="20"/>
        </w:rPr>
        <w:t xml:space="preserve">Dickey, D. A. e W. A. Fuller (1979), “Distribution of the Estimators for Autoregressive Time Series with a Unit Root”, </w:t>
      </w:r>
      <w:r w:rsidRPr="00345D61">
        <w:rPr>
          <w:rFonts w:cs="Arial"/>
          <w:i/>
          <w:szCs w:val="20"/>
        </w:rPr>
        <w:t>Journal of the American Statistical Association</w:t>
      </w:r>
      <w:r w:rsidRPr="00345D61">
        <w:rPr>
          <w:rFonts w:cs="Arial"/>
          <w:szCs w:val="20"/>
        </w:rPr>
        <w:t>, Vol. 74, 427–431.</w:t>
      </w:r>
    </w:p>
    <w:p w14:paraId="28D681A5" w14:textId="77777777" w:rsidR="00632447" w:rsidRPr="00345D61" w:rsidRDefault="00632447" w:rsidP="00632447">
      <w:pPr>
        <w:pStyle w:val="09bibliografia"/>
        <w:rPr>
          <w:rFonts w:cs="Arial"/>
          <w:szCs w:val="20"/>
        </w:rPr>
      </w:pPr>
      <w:r w:rsidRPr="00345D61">
        <w:rPr>
          <w:rFonts w:cs="Arial"/>
          <w:szCs w:val="20"/>
        </w:rPr>
        <w:t xml:space="preserve">Engle, R. F. e C. W. J. Granger (1987), “Co-integration and Error Correction: Representation, Estimation, and Testing”, </w:t>
      </w:r>
      <w:r w:rsidRPr="00345D61">
        <w:rPr>
          <w:rFonts w:cs="Arial"/>
          <w:i/>
          <w:szCs w:val="20"/>
        </w:rPr>
        <w:t>Econometrica</w:t>
      </w:r>
      <w:r w:rsidRPr="00345D61">
        <w:rPr>
          <w:rFonts w:cs="Arial"/>
          <w:szCs w:val="20"/>
        </w:rPr>
        <w:t>, Vol. 55, 251–276.</w:t>
      </w:r>
    </w:p>
    <w:p w14:paraId="48387234" w14:textId="77777777" w:rsidR="00632447" w:rsidRPr="00345D61" w:rsidRDefault="00632447" w:rsidP="00632447">
      <w:pPr>
        <w:pStyle w:val="09bibliografia"/>
        <w:rPr>
          <w:rFonts w:cs="Arial"/>
          <w:szCs w:val="20"/>
        </w:rPr>
      </w:pPr>
      <w:r w:rsidRPr="00345D61">
        <w:rPr>
          <w:rFonts w:cs="Arial"/>
          <w:szCs w:val="20"/>
        </w:rPr>
        <w:t xml:space="preserve">Giorno, C., P. Richardson, D. Rosevearee P. van den Noord (1995), “Estimating potential output gaps and structural budget balances”, </w:t>
      </w:r>
      <w:r w:rsidRPr="00345D61">
        <w:rPr>
          <w:rFonts w:cs="Arial"/>
          <w:i/>
          <w:szCs w:val="20"/>
        </w:rPr>
        <w:t>OECD Economic Department Working Paper</w:t>
      </w:r>
      <w:r w:rsidRPr="00345D61">
        <w:rPr>
          <w:rFonts w:cs="Arial"/>
          <w:szCs w:val="20"/>
        </w:rPr>
        <w:t>, No, 152.</w:t>
      </w:r>
    </w:p>
    <w:p w14:paraId="388217DF" w14:textId="77777777" w:rsidR="00632447" w:rsidRPr="00345D61" w:rsidRDefault="00632447" w:rsidP="00632447">
      <w:pPr>
        <w:pStyle w:val="09bibliografia"/>
        <w:rPr>
          <w:rFonts w:cs="Arial"/>
          <w:szCs w:val="20"/>
        </w:rPr>
      </w:pPr>
      <w:r w:rsidRPr="00345D61">
        <w:rPr>
          <w:rFonts w:cs="Arial"/>
          <w:szCs w:val="20"/>
        </w:rPr>
        <w:t xml:space="preserve">Fair, R. C. (2004), </w:t>
      </w:r>
      <w:r w:rsidRPr="00345D61">
        <w:rPr>
          <w:rFonts w:cs="Arial"/>
          <w:i/>
          <w:szCs w:val="20"/>
        </w:rPr>
        <w:t>Estimating How the Macroeconomy Works</w:t>
      </w:r>
      <w:r w:rsidRPr="00345D61">
        <w:rPr>
          <w:rFonts w:cs="Arial"/>
          <w:szCs w:val="20"/>
        </w:rPr>
        <w:t>, Harvard University Press.</w:t>
      </w:r>
    </w:p>
    <w:p w14:paraId="71DA9DD3" w14:textId="77777777" w:rsidR="00632447" w:rsidRPr="00345D61" w:rsidRDefault="00632447" w:rsidP="00632447">
      <w:pPr>
        <w:pStyle w:val="09bibliografia"/>
        <w:rPr>
          <w:rFonts w:cs="Arial"/>
          <w:szCs w:val="20"/>
        </w:rPr>
      </w:pPr>
      <w:r w:rsidRPr="00345D61">
        <w:rPr>
          <w:rFonts w:cs="Arial"/>
          <w:szCs w:val="20"/>
        </w:rPr>
        <w:t xml:space="preserve">Friedman, M. (1957), </w:t>
      </w:r>
      <w:r w:rsidRPr="00345D61">
        <w:rPr>
          <w:rFonts w:cs="Arial"/>
          <w:i/>
          <w:szCs w:val="20"/>
        </w:rPr>
        <w:t>A Theory of Consumption Function</w:t>
      </w:r>
      <w:r w:rsidRPr="00345D61">
        <w:rPr>
          <w:rFonts w:cs="Arial"/>
          <w:szCs w:val="20"/>
        </w:rPr>
        <w:t>, Princeton University Press.</w:t>
      </w:r>
    </w:p>
    <w:p w14:paraId="6AE5A35B" w14:textId="77777777" w:rsidR="00632447" w:rsidRPr="00345D61" w:rsidRDefault="00632447" w:rsidP="00632447">
      <w:pPr>
        <w:pStyle w:val="09bibliografia"/>
        <w:rPr>
          <w:rFonts w:cs="Arial"/>
          <w:szCs w:val="20"/>
        </w:rPr>
      </w:pPr>
      <w:r w:rsidRPr="00345D61">
        <w:rPr>
          <w:rFonts w:cs="Arial"/>
          <w:szCs w:val="20"/>
        </w:rPr>
        <w:t xml:space="preserve">Galì, J. e M. Gertler (1999), “Inflation dynamics: a structural econometric analysis”, </w:t>
      </w:r>
      <w:r w:rsidRPr="00345D61">
        <w:rPr>
          <w:rFonts w:cs="Arial"/>
          <w:i/>
          <w:szCs w:val="20"/>
        </w:rPr>
        <w:t>Journal of Monetary Economics</w:t>
      </w:r>
      <w:r w:rsidRPr="00345D61">
        <w:rPr>
          <w:rFonts w:cs="Arial"/>
          <w:szCs w:val="20"/>
        </w:rPr>
        <w:t>, Vol. 44, 195-222.</w:t>
      </w:r>
    </w:p>
    <w:p w14:paraId="06B8D612" w14:textId="77777777" w:rsidR="00632447" w:rsidRPr="00345D61" w:rsidRDefault="00632447" w:rsidP="00632447">
      <w:pPr>
        <w:pStyle w:val="09bibliografia"/>
        <w:rPr>
          <w:rFonts w:cs="Arial"/>
          <w:szCs w:val="20"/>
        </w:rPr>
      </w:pPr>
      <w:r w:rsidRPr="00345D61">
        <w:rPr>
          <w:rFonts w:cs="Arial"/>
          <w:szCs w:val="20"/>
        </w:rPr>
        <w:t xml:space="preserve">Goldsmith, R. W. (1951), “A Perpetual Inventory of National Wealth”, </w:t>
      </w:r>
      <w:r w:rsidRPr="00345D61">
        <w:rPr>
          <w:rFonts w:cs="Arial"/>
          <w:i/>
          <w:szCs w:val="20"/>
        </w:rPr>
        <w:t>NBER Studies in Income and Wealth</w:t>
      </w:r>
      <w:r w:rsidRPr="00345D61">
        <w:rPr>
          <w:rFonts w:cs="Arial"/>
          <w:szCs w:val="20"/>
        </w:rPr>
        <w:t>, Vol. 14, New York.</w:t>
      </w:r>
    </w:p>
    <w:p w14:paraId="7BF91553" w14:textId="77777777" w:rsidR="00632447" w:rsidRPr="00345D61" w:rsidRDefault="00632447" w:rsidP="00632447">
      <w:pPr>
        <w:pStyle w:val="09bibliografia"/>
        <w:rPr>
          <w:rFonts w:cs="Arial"/>
          <w:szCs w:val="20"/>
          <w:lang w:val="it-IT"/>
        </w:rPr>
      </w:pPr>
      <w:r w:rsidRPr="00345D61">
        <w:rPr>
          <w:rFonts w:cs="Arial"/>
          <w:szCs w:val="20"/>
          <w:lang w:val="it-IT"/>
        </w:rPr>
        <w:t xml:space="preserve">Golinelli, R. (1998), "Fatti stilizzati e metodi econometrici "moderni": una rivisitazione della curva di Phillips per l'Italia (1951-1996)", </w:t>
      </w:r>
      <w:r w:rsidRPr="00345D61">
        <w:rPr>
          <w:rFonts w:cs="Arial"/>
          <w:i/>
          <w:szCs w:val="20"/>
          <w:lang w:val="it-IT"/>
        </w:rPr>
        <w:t>Politica Economica</w:t>
      </w:r>
      <w:r w:rsidRPr="00345D61">
        <w:rPr>
          <w:rFonts w:cs="Arial"/>
          <w:szCs w:val="20"/>
          <w:lang w:val="it-IT"/>
        </w:rPr>
        <w:t>, No. 3, Dicembre, 411-446.</w:t>
      </w:r>
    </w:p>
    <w:p w14:paraId="1DB4187A" w14:textId="77777777" w:rsidR="00632447" w:rsidRPr="00345D61" w:rsidRDefault="00632447" w:rsidP="00632447">
      <w:pPr>
        <w:pStyle w:val="09bibliografia"/>
        <w:rPr>
          <w:rFonts w:cs="Arial"/>
          <w:szCs w:val="20"/>
        </w:rPr>
      </w:pPr>
      <w:r w:rsidRPr="00345D61">
        <w:rPr>
          <w:rFonts w:cs="Arial"/>
          <w:szCs w:val="20"/>
        </w:rPr>
        <w:t xml:space="preserve">Gordon, R. J. (1981), "Inflation, flexible exchange rate, and the natural rate of unemployment", </w:t>
      </w:r>
      <w:r w:rsidRPr="00345D61">
        <w:rPr>
          <w:rFonts w:cs="Arial"/>
          <w:i/>
          <w:szCs w:val="20"/>
        </w:rPr>
        <w:t>NBER Working Paper</w:t>
      </w:r>
      <w:r w:rsidRPr="00345D61">
        <w:rPr>
          <w:rFonts w:cs="Arial"/>
          <w:szCs w:val="20"/>
        </w:rPr>
        <w:t>, No. 708.</w:t>
      </w:r>
    </w:p>
    <w:p w14:paraId="211BB599" w14:textId="77777777" w:rsidR="00632447" w:rsidRPr="00345D61" w:rsidRDefault="00632447" w:rsidP="00632447">
      <w:pPr>
        <w:pStyle w:val="09bibliografia"/>
        <w:rPr>
          <w:rFonts w:cs="Arial"/>
          <w:szCs w:val="20"/>
        </w:rPr>
      </w:pPr>
      <w:r w:rsidRPr="00345D61">
        <w:rPr>
          <w:rFonts w:cs="Arial"/>
          <w:szCs w:val="20"/>
        </w:rPr>
        <w:t xml:space="preserve">Gordon, R. J. (1988), "U.S. inflation, labor's share and the natural rate of unemployment", </w:t>
      </w:r>
      <w:r w:rsidRPr="00345D61">
        <w:rPr>
          <w:rFonts w:cs="Arial"/>
          <w:i/>
          <w:szCs w:val="20"/>
        </w:rPr>
        <w:t>NBER Working Paper</w:t>
      </w:r>
      <w:r w:rsidRPr="00345D61">
        <w:rPr>
          <w:rFonts w:cs="Arial"/>
          <w:szCs w:val="20"/>
        </w:rPr>
        <w:t>, No. 2585.</w:t>
      </w:r>
    </w:p>
    <w:p w14:paraId="3F1267AE" w14:textId="77777777" w:rsidR="00632447" w:rsidRPr="00345D61" w:rsidRDefault="00632447" w:rsidP="00632447">
      <w:pPr>
        <w:pStyle w:val="09bibliografia"/>
        <w:rPr>
          <w:rFonts w:cs="Arial"/>
          <w:szCs w:val="20"/>
        </w:rPr>
      </w:pPr>
      <w:r w:rsidRPr="00345D61">
        <w:rPr>
          <w:rFonts w:cs="Arial"/>
          <w:szCs w:val="20"/>
        </w:rPr>
        <w:t xml:space="preserve">Gordon, R. J. (2011), "The study of the Phillips curve: consensus and bifurcation", </w:t>
      </w:r>
      <w:r w:rsidRPr="00345D61">
        <w:rPr>
          <w:rFonts w:cs="Arial"/>
          <w:i/>
          <w:szCs w:val="20"/>
        </w:rPr>
        <w:t>Economica</w:t>
      </w:r>
      <w:r w:rsidRPr="00345D61">
        <w:rPr>
          <w:rFonts w:cs="Arial"/>
          <w:szCs w:val="20"/>
        </w:rPr>
        <w:t>, Vol. 78, 10-50.</w:t>
      </w:r>
    </w:p>
    <w:p w14:paraId="4020416C" w14:textId="77777777" w:rsidR="00632447" w:rsidRPr="00345D61" w:rsidRDefault="00632447" w:rsidP="00632447">
      <w:pPr>
        <w:pStyle w:val="09bibliografia"/>
        <w:rPr>
          <w:rFonts w:cs="Arial"/>
          <w:szCs w:val="20"/>
        </w:rPr>
      </w:pPr>
      <w:r w:rsidRPr="00345D61">
        <w:rPr>
          <w:rFonts w:cs="Arial"/>
          <w:szCs w:val="20"/>
        </w:rPr>
        <w:t xml:space="preserve">Hamermesh, D. S. (1996), </w:t>
      </w:r>
      <w:r w:rsidRPr="00345D61">
        <w:rPr>
          <w:rFonts w:cs="Arial"/>
          <w:i/>
          <w:szCs w:val="20"/>
        </w:rPr>
        <w:t>Labor Demand</w:t>
      </w:r>
      <w:r w:rsidRPr="00345D61">
        <w:rPr>
          <w:rFonts w:cs="Arial"/>
          <w:szCs w:val="20"/>
        </w:rPr>
        <w:t>”, Princeton University Press.</w:t>
      </w:r>
    </w:p>
    <w:p w14:paraId="307AA374" w14:textId="77777777" w:rsidR="00632447" w:rsidRPr="00345D61" w:rsidRDefault="00632447" w:rsidP="00632447">
      <w:pPr>
        <w:pStyle w:val="09bibliografia"/>
        <w:rPr>
          <w:rFonts w:cs="Arial"/>
          <w:szCs w:val="20"/>
        </w:rPr>
      </w:pPr>
      <w:r w:rsidRPr="00345D61">
        <w:rPr>
          <w:rFonts w:cs="Arial"/>
          <w:szCs w:val="20"/>
        </w:rPr>
        <w:t xml:space="preserve">Hamermesh, D. S. (1999), “The demand of labour in the long run”, </w:t>
      </w:r>
      <w:r w:rsidRPr="00345D61">
        <w:rPr>
          <w:rFonts w:cs="Arial"/>
          <w:i/>
          <w:szCs w:val="20"/>
        </w:rPr>
        <w:t>Handbook of Labor Economics</w:t>
      </w:r>
      <w:r w:rsidRPr="00345D61">
        <w:rPr>
          <w:rFonts w:cs="Arial"/>
          <w:szCs w:val="20"/>
        </w:rPr>
        <w:t>, Vol. 1, Cap. 8, North Holland, 429-471.</w:t>
      </w:r>
    </w:p>
    <w:p w14:paraId="6BDD5D19" w14:textId="77777777" w:rsidR="00632447" w:rsidRPr="00345D61" w:rsidRDefault="00632447" w:rsidP="00632447">
      <w:pPr>
        <w:pStyle w:val="09bibliografia"/>
        <w:rPr>
          <w:rFonts w:cs="Arial"/>
          <w:szCs w:val="20"/>
        </w:rPr>
      </w:pPr>
      <w:r w:rsidRPr="00345D61">
        <w:rPr>
          <w:rFonts w:cs="Arial"/>
          <w:szCs w:val="20"/>
        </w:rPr>
        <w:t xml:space="preserve">Hendry, D.F., A.R. Pagan e J.D. Sargan (1984), "Dynamic specification", in Z. Griliches e M. D. Intriligator (eds.), </w:t>
      </w:r>
      <w:r w:rsidRPr="00345D61">
        <w:rPr>
          <w:rFonts w:cs="Arial"/>
          <w:i/>
          <w:szCs w:val="20"/>
        </w:rPr>
        <w:t>Handbook of Econometrics</w:t>
      </w:r>
      <w:r w:rsidRPr="00345D61">
        <w:rPr>
          <w:rFonts w:cs="Arial"/>
          <w:szCs w:val="20"/>
        </w:rPr>
        <w:t>, Vol. II, North Holland.</w:t>
      </w:r>
    </w:p>
    <w:p w14:paraId="26497E9F" w14:textId="77777777" w:rsidR="00632447" w:rsidRPr="00345D61" w:rsidRDefault="00632447" w:rsidP="00632447">
      <w:pPr>
        <w:pStyle w:val="09bibliografia"/>
        <w:rPr>
          <w:rFonts w:cs="Arial"/>
          <w:szCs w:val="20"/>
        </w:rPr>
      </w:pPr>
      <w:r w:rsidRPr="00345D61">
        <w:rPr>
          <w:rFonts w:cs="Arial"/>
          <w:szCs w:val="20"/>
        </w:rPr>
        <w:t xml:space="preserve">Hodrick, R. J., e E. C. Prescott (1997), “Post-war US business cycles: an empirical investigation”, </w:t>
      </w:r>
      <w:r w:rsidRPr="00345D61">
        <w:rPr>
          <w:rFonts w:cs="Arial"/>
          <w:i/>
          <w:szCs w:val="20"/>
        </w:rPr>
        <w:t>Journal of Money, Credit and Banking</w:t>
      </w:r>
      <w:r w:rsidRPr="00345D61">
        <w:rPr>
          <w:rFonts w:cs="Arial"/>
          <w:szCs w:val="20"/>
        </w:rPr>
        <w:t>, Vol. 29, 1-16.</w:t>
      </w:r>
    </w:p>
    <w:p w14:paraId="6C8B5B06" w14:textId="77777777" w:rsidR="00632447" w:rsidRPr="00345D61" w:rsidRDefault="00632447" w:rsidP="00632447">
      <w:pPr>
        <w:pStyle w:val="09bibliografia"/>
        <w:rPr>
          <w:rFonts w:cs="Arial"/>
          <w:szCs w:val="20"/>
        </w:rPr>
      </w:pPr>
      <w:r w:rsidRPr="00345D61">
        <w:rPr>
          <w:rFonts w:cs="Arial"/>
          <w:szCs w:val="20"/>
        </w:rPr>
        <w:lastRenderedPageBreak/>
        <w:t xml:space="preserve">Hsiao, C. (1997a) "Statistical properties of the two-stage least squares estimator under cointegration", </w:t>
      </w:r>
      <w:r w:rsidRPr="00345D61">
        <w:rPr>
          <w:rFonts w:cs="Arial"/>
          <w:i/>
          <w:szCs w:val="20"/>
        </w:rPr>
        <w:t>Review of Economic Studies</w:t>
      </w:r>
      <w:r w:rsidRPr="00345D61">
        <w:rPr>
          <w:rFonts w:cs="Arial"/>
          <w:szCs w:val="20"/>
        </w:rPr>
        <w:t>, Vol. 64, 385-398.</w:t>
      </w:r>
    </w:p>
    <w:p w14:paraId="392FD709" w14:textId="77777777" w:rsidR="00632447" w:rsidRPr="00345D61" w:rsidRDefault="00632447" w:rsidP="00632447">
      <w:pPr>
        <w:pStyle w:val="09bibliografia"/>
        <w:rPr>
          <w:rFonts w:cs="Arial"/>
          <w:szCs w:val="20"/>
        </w:rPr>
      </w:pPr>
      <w:r w:rsidRPr="00345D61">
        <w:rPr>
          <w:rFonts w:cs="Arial"/>
          <w:szCs w:val="20"/>
        </w:rPr>
        <w:t xml:space="preserve">Hsiao, C. (1997b) "Cointegration and dynamic simultaneous model", </w:t>
      </w:r>
      <w:r w:rsidRPr="00345D61">
        <w:rPr>
          <w:rFonts w:cs="Arial"/>
          <w:i/>
          <w:szCs w:val="20"/>
        </w:rPr>
        <w:t>Econometrica</w:t>
      </w:r>
      <w:r w:rsidRPr="00345D61">
        <w:rPr>
          <w:rFonts w:cs="Arial"/>
          <w:szCs w:val="20"/>
        </w:rPr>
        <w:t>, Vol. 65, No. 3, 647-670.</w:t>
      </w:r>
    </w:p>
    <w:p w14:paraId="7B5956CC" w14:textId="77777777" w:rsidR="00632447" w:rsidRPr="00345D61" w:rsidRDefault="00632447" w:rsidP="00632447">
      <w:pPr>
        <w:pStyle w:val="09bibliografia"/>
        <w:rPr>
          <w:rFonts w:cs="Arial"/>
          <w:szCs w:val="20"/>
          <w:lang w:val="it-IT"/>
        </w:rPr>
      </w:pPr>
      <w:r w:rsidRPr="00345D61">
        <w:rPr>
          <w:rFonts w:cs="Arial"/>
          <w:szCs w:val="20"/>
          <w:lang w:val="it-IT"/>
        </w:rPr>
        <w:t xml:space="preserve">Istat (2005), “I conti economici nazionali per settore istituzionale: le nuove stime secondo il Sec95”, </w:t>
      </w:r>
      <w:r w:rsidRPr="00345D61">
        <w:rPr>
          <w:rFonts w:cs="Arial"/>
          <w:i/>
          <w:szCs w:val="20"/>
          <w:lang w:val="it-IT"/>
        </w:rPr>
        <w:t>Metodi e Norme</w:t>
      </w:r>
      <w:r w:rsidRPr="00345D61">
        <w:rPr>
          <w:rFonts w:cs="Arial"/>
          <w:szCs w:val="20"/>
          <w:lang w:val="it-IT"/>
        </w:rPr>
        <w:t>, No. 23.</w:t>
      </w:r>
    </w:p>
    <w:p w14:paraId="2D63CAD8" w14:textId="77777777" w:rsidR="00632447" w:rsidRPr="00345D61" w:rsidRDefault="00632447" w:rsidP="00632447">
      <w:pPr>
        <w:pStyle w:val="09bibliografia"/>
        <w:rPr>
          <w:rFonts w:cs="Arial"/>
          <w:szCs w:val="20"/>
        </w:rPr>
      </w:pPr>
      <w:r w:rsidRPr="00345D61">
        <w:rPr>
          <w:rFonts w:cs="Arial"/>
          <w:szCs w:val="20"/>
        </w:rPr>
        <w:t xml:space="preserve">Johansen, S. (1995), </w:t>
      </w:r>
      <w:r w:rsidRPr="00345D61">
        <w:rPr>
          <w:rFonts w:cs="Arial"/>
          <w:i/>
          <w:szCs w:val="20"/>
        </w:rPr>
        <w:t>Likelihood-based Inference in Cointegrated Vector Autoregressive Models</w:t>
      </w:r>
      <w:r w:rsidRPr="00345D61">
        <w:rPr>
          <w:rFonts w:cs="Arial"/>
          <w:szCs w:val="20"/>
        </w:rPr>
        <w:t>, Oxford University Press.</w:t>
      </w:r>
    </w:p>
    <w:p w14:paraId="68698853" w14:textId="77777777" w:rsidR="00632447" w:rsidRPr="00345D61" w:rsidRDefault="00632447" w:rsidP="00632447">
      <w:pPr>
        <w:pStyle w:val="09bibliografia"/>
        <w:rPr>
          <w:rFonts w:cs="Arial"/>
          <w:szCs w:val="20"/>
        </w:rPr>
      </w:pPr>
      <w:r w:rsidRPr="00345D61">
        <w:rPr>
          <w:rFonts w:cs="Arial"/>
          <w:szCs w:val="20"/>
        </w:rPr>
        <w:t xml:space="preserve">Klein L. R. (1950), </w:t>
      </w:r>
      <w:r w:rsidRPr="00345D61">
        <w:rPr>
          <w:rFonts w:cs="Arial"/>
          <w:i/>
          <w:szCs w:val="20"/>
        </w:rPr>
        <w:t>Economic Fluctuations in the United States, 1921-1941</w:t>
      </w:r>
      <w:r w:rsidRPr="00345D61">
        <w:rPr>
          <w:rFonts w:cs="Arial"/>
          <w:szCs w:val="20"/>
        </w:rPr>
        <w:t xml:space="preserve">, Cowles Commission monograph, No. 14, John Wiley &amp; Sons. </w:t>
      </w:r>
    </w:p>
    <w:p w14:paraId="339FB969" w14:textId="77777777" w:rsidR="00632447" w:rsidRPr="00345D61" w:rsidRDefault="00632447" w:rsidP="00632447">
      <w:pPr>
        <w:pStyle w:val="09bibliografia"/>
        <w:rPr>
          <w:rFonts w:cs="Arial"/>
          <w:szCs w:val="20"/>
        </w:rPr>
      </w:pPr>
      <w:r w:rsidRPr="00345D61">
        <w:rPr>
          <w:rFonts w:cs="Arial"/>
          <w:szCs w:val="20"/>
        </w:rPr>
        <w:t xml:space="preserve">Lane, P. R. e G. M. Milesi-Ferretti (2011), “External Adjustment and the Global Crisis”, </w:t>
      </w:r>
      <w:r w:rsidRPr="00345D61">
        <w:rPr>
          <w:rFonts w:cs="Arial"/>
          <w:i/>
          <w:szCs w:val="20"/>
        </w:rPr>
        <w:t>NBER Working Papers</w:t>
      </w:r>
      <w:r w:rsidRPr="00345D61">
        <w:rPr>
          <w:rFonts w:cs="Arial"/>
          <w:szCs w:val="20"/>
        </w:rPr>
        <w:t>, No. 17352.</w:t>
      </w:r>
    </w:p>
    <w:p w14:paraId="1198C225" w14:textId="77777777" w:rsidR="00632447" w:rsidRPr="00345D61" w:rsidRDefault="00632447" w:rsidP="00632447">
      <w:pPr>
        <w:pStyle w:val="09bibliografia"/>
        <w:rPr>
          <w:rFonts w:cs="Arial"/>
          <w:szCs w:val="20"/>
        </w:rPr>
      </w:pPr>
      <w:r w:rsidRPr="00345D61">
        <w:rPr>
          <w:rFonts w:cs="Arial"/>
          <w:szCs w:val="20"/>
        </w:rPr>
        <w:t xml:space="preserve">Lucas, R. E. Jr. e L. A. Rapping (1969), “Real Wages, Employment, and Inflation”, </w:t>
      </w:r>
      <w:r w:rsidRPr="00345D61">
        <w:rPr>
          <w:rFonts w:cs="Arial"/>
          <w:i/>
          <w:szCs w:val="20"/>
        </w:rPr>
        <w:t>Journal of Political Economy</w:t>
      </w:r>
      <w:r w:rsidRPr="00345D61">
        <w:rPr>
          <w:rFonts w:cs="Arial"/>
          <w:szCs w:val="20"/>
        </w:rPr>
        <w:t>, Vol. 77, No. 5, 721–54.</w:t>
      </w:r>
    </w:p>
    <w:p w14:paraId="2C5CC67B" w14:textId="77777777" w:rsidR="00632447" w:rsidRPr="00345D61" w:rsidRDefault="00632447" w:rsidP="00632447">
      <w:pPr>
        <w:pStyle w:val="09bibliografia"/>
        <w:rPr>
          <w:rFonts w:cs="Arial"/>
          <w:szCs w:val="20"/>
        </w:rPr>
      </w:pPr>
      <w:r w:rsidRPr="00345D61">
        <w:rPr>
          <w:rFonts w:cs="Arial"/>
          <w:szCs w:val="20"/>
        </w:rPr>
        <w:t xml:space="preserve">Obstfeld, M. e K. Rogoff (2010), “Global Imbalances and the Financial Crisis: Products of Common Causes”, in R. Glick e M. Spiegel (eds.), </w:t>
      </w:r>
      <w:r w:rsidRPr="00345D61">
        <w:rPr>
          <w:rFonts w:cs="Arial"/>
          <w:i/>
          <w:szCs w:val="20"/>
        </w:rPr>
        <w:t>Asia and the Global Financial Crisis</w:t>
      </w:r>
      <w:r w:rsidRPr="00345D61">
        <w:rPr>
          <w:rFonts w:cs="Arial"/>
          <w:szCs w:val="20"/>
        </w:rPr>
        <w:t xml:space="preserve">, Federal Reserve Bank of San Francisco, 131-172. </w:t>
      </w:r>
    </w:p>
    <w:p w14:paraId="7E3729A2" w14:textId="77777777" w:rsidR="00632447" w:rsidRPr="00345D61" w:rsidRDefault="00632447" w:rsidP="00632447">
      <w:pPr>
        <w:pStyle w:val="09bibliografia"/>
        <w:rPr>
          <w:rFonts w:cs="Arial"/>
          <w:szCs w:val="20"/>
        </w:rPr>
      </w:pPr>
      <w:r w:rsidRPr="00345D61">
        <w:rPr>
          <w:rFonts w:cs="Arial"/>
          <w:szCs w:val="20"/>
        </w:rPr>
        <w:t xml:space="preserve">Okun, A. M. (1962), “Potential GNP: it’s measurement and significance”, </w:t>
      </w:r>
      <w:r w:rsidRPr="00345D61">
        <w:rPr>
          <w:rFonts w:cs="Arial"/>
          <w:i/>
          <w:szCs w:val="20"/>
        </w:rPr>
        <w:t>Cowles Foundation Paper</w:t>
      </w:r>
      <w:r w:rsidRPr="00345D61">
        <w:rPr>
          <w:rFonts w:cs="Arial"/>
          <w:szCs w:val="20"/>
        </w:rPr>
        <w:t>, No. 190.</w:t>
      </w:r>
    </w:p>
    <w:p w14:paraId="25451A99" w14:textId="77777777" w:rsidR="00632447" w:rsidRPr="00345D61" w:rsidRDefault="00632447" w:rsidP="00632447">
      <w:pPr>
        <w:pStyle w:val="09bibliografia"/>
        <w:rPr>
          <w:rFonts w:cs="Arial"/>
          <w:szCs w:val="20"/>
        </w:rPr>
      </w:pPr>
      <w:r w:rsidRPr="00345D61">
        <w:rPr>
          <w:rFonts w:cs="Arial"/>
          <w:szCs w:val="20"/>
        </w:rPr>
        <w:t>Pesaran, M.H., Y. Shin e R. J. Smith (2001), "Bounds approaches to the analysis of level relationships",</w:t>
      </w:r>
      <w:r w:rsidRPr="00345D61">
        <w:rPr>
          <w:rFonts w:cs="Arial"/>
          <w:i/>
          <w:szCs w:val="20"/>
        </w:rPr>
        <w:t xml:space="preserve"> Journal of Applied Econometrics</w:t>
      </w:r>
      <w:r w:rsidRPr="00345D61">
        <w:rPr>
          <w:rFonts w:cs="Arial"/>
          <w:szCs w:val="20"/>
        </w:rPr>
        <w:t>, Vol. 16, 289–326.</w:t>
      </w:r>
    </w:p>
    <w:p w14:paraId="671A250A" w14:textId="77777777" w:rsidR="00632447" w:rsidRPr="00345D61" w:rsidRDefault="00632447" w:rsidP="00632447">
      <w:pPr>
        <w:pStyle w:val="09bibliografia"/>
        <w:rPr>
          <w:rFonts w:cs="Arial"/>
          <w:szCs w:val="20"/>
        </w:rPr>
      </w:pPr>
      <w:r w:rsidRPr="00345D61">
        <w:rPr>
          <w:rFonts w:cs="Arial"/>
          <w:szCs w:val="20"/>
        </w:rPr>
        <w:t xml:space="preserve">Phillips, A.W. (1958), "The relation between unemployment and the rate of change of money wage rates in the United Kingdom”, </w:t>
      </w:r>
      <w:r w:rsidRPr="00345D61">
        <w:rPr>
          <w:rFonts w:cs="Arial"/>
          <w:i/>
          <w:szCs w:val="20"/>
        </w:rPr>
        <w:t>Economica</w:t>
      </w:r>
      <w:r w:rsidRPr="00345D61">
        <w:rPr>
          <w:rFonts w:cs="Arial"/>
          <w:szCs w:val="20"/>
        </w:rPr>
        <w:t>, Vol. 25, 283-299.</w:t>
      </w:r>
    </w:p>
    <w:p w14:paraId="710BD915" w14:textId="77777777" w:rsidR="00632447" w:rsidRPr="00345D61" w:rsidRDefault="00632447" w:rsidP="00632447">
      <w:pPr>
        <w:pStyle w:val="09bibliografia"/>
        <w:rPr>
          <w:rFonts w:cs="Arial"/>
          <w:szCs w:val="20"/>
        </w:rPr>
      </w:pPr>
      <w:r w:rsidRPr="00345D61">
        <w:rPr>
          <w:rFonts w:cs="Arial"/>
          <w:szCs w:val="20"/>
        </w:rPr>
        <w:t xml:space="preserve">Rossi, N., e I. Visco (1995), “National saving and social security in Italy”, </w:t>
      </w:r>
      <w:r w:rsidRPr="00345D61">
        <w:rPr>
          <w:rFonts w:cs="Arial"/>
          <w:i/>
          <w:szCs w:val="20"/>
        </w:rPr>
        <w:t>Ricerche economiche</w:t>
      </w:r>
      <w:r w:rsidRPr="00345D61">
        <w:rPr>
          <w:rFonts w:cs="Arial"/>
          <w:szCs w:val="20"/>
        </w:rPr>
        <w:t>, Vol. 49, 329-356.</w:t>
      </w:r>
    </w:p>
    <w:p w14:paraId="6E93DC68" w14:textId="77777777" w:rsidR="00632447" w:rsidRPr="00345D61" w:rsidRDefault="00632447" w:rsidP="00632447">
      <w:pPr>
        <w:pStyle w:val="09bibliografia"/>
        <w:rPr>
          <w:rFonts w:cs="Arial"/>
          <w:szCs w:val="20"/>
        </w:rPr>
      </w:pPr>
      <w:r w:rsidRPr="00345D61">
        <w:rPr>
          <w:rFonts w:cs="Arial"/>
          <w:szCs w:val="20"/>
        </w:rPr>
        <w:t xml:space="preserve">Sims, C., J. Stock e M. Watson (1990), "Inference in linear time series models with some unit roots", </w:t>
      </w:r>
      <w:r w:rsidRPr="00345D61">
        <w:rPr>
          <w:rFonts w:cs="Arial"/>
          <w:i/>
          <w:szCs w:val="20"/>
        </w:rPr>
        <w:t>Econometrica</w:t>
      </w:r>
      <w:r w:rsidRPr="00345D61">
        <w:rPr>
          <w:rFonts w:cs="Arial"/>
          <w:szCs w:val="20"/>
        </w:rPr>
        <w:t>, Vol. 58, No. 1, 113-144.</w:t>
      </w:r>
    </w:p>
    <w:p w14:paraId="397B83A2" w14:textId="77777777" w:rsidR="00632447" w:rsidRPr="00345D61" w:rsidRDefault="00632447" w:rsidP="00632447">
      <w:pPr>
        <w:pStyle w:val="09bibliografia"/>
        <w:rPr>
          <w:rFonts w:cs="Arial"/>
          <w:szCs w:val="20"/>
        </w:rPr>
      </w:pPr>
      <w:r w:rsidRPr="00345D61">
        <w:rPr>
          <w:rFonts w:cs="Arial"/>
          <w:szCs w:val="20"/>
        </w:rPr>
        <w:t xml:space="preserve">Solow, R. M. (1957), “Technical Change and the Aggregate Production Function”, </w:t>
      </w:r>
      <w:r w:rsidRPr="00345D61">
        <w:rPr>
          <w:rFonts w:cs="Arial"/>
          <w:i/>
          <w:szCs w:val="20"/>
        </w:rPr>
        <w:t>The Review of Economics and Statistics</w:t>
      </w:r>
      <w:r w:rsidRPr="00345D61">
        <w:rPr>
          <w:rFonts w:cs="Arial"/>
          <w:szCs w:val="20"/>
        </w:rPr>
        <w:t>, Vol. 39, No. 3, 312-320.</w:t>
      </w:r>
    </w:p>
    <w:p w14:paraId="5275AF73" w14:textId="77777777" w:rsidR="00625CB2" w:rsidRPr="00345D61" w:rsidRDefault="00625CB2" w:rsidP="004D1525">
      <w:pPr>
        <w:pStyle w:val="01testo"/>
        <w:spacing w:after="0"/>
        <w:rPr>
          <w:lang w:val="en-US"/>
        </w:rPr>
      </w:pPr>
    </w:p>
    <w:sectPr w:rsidR="00625CB2" w:rsidRPr="00345D61" w:rsidSect="0062585E">
      <w:headerReference w:type="default" r:id="rId13"/>
      <w:footerReference w:type="even" r:id="rId14"/>
      <w:footerReference w:type="default" r:id="rId15"/>
      <w:headerReference w:type="first" r:id="rId16"/>
      <w:footerReference w:type="first" r:id="rId17"/>
      <w:type w:val="continuous"/>
      <w:pgSz w:w="11906" w:h="16838" w:code="9"/>
      <w:pgMar w:top="567" w:right="851" w:bottom="851" w:left="680" w:header="45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E3B28" w14:textId="77777777" w:rsidR="00E51F9E" w:rsidRDefault="00E51F9E">
      <w:r>
        <w:separator/>
      </w:r>
    </w:p>
  </w:endnote>
  <w:endnote w:type="continuationSeparator" w:id="0">
    <w:p w14:paraId="1FEF873A" w14:textId="77777777" w:rsidR="00E51F9E" w:rsidRDefault="00E5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1DBA3" w14:textId="77777777" w:rsidR="006844FA" w:rsidRDefault="006844FA" w:rsidP="0059362A">
    <w:pPr>
      <w:framePr w:wrap="around" w:vAnchor="text" w:hAnchor="margin" w:xAlign="outside" w:y="1"/>
    </w:pPr>
    <w:r>
      <w:fldChar w:fldCharType="begin"/>
    </w:r>
    <w:r>
      <w:instrText xml:space="preserve">PAGE  </w:instrText>
    </w:r>
    <w:r>
      <w:fldChar w:fldCharType="end"/>
    </w:r>
  </w:p>
  <w:p w14:paraId="78F3D035" w14:textId="77777777" w:rsidR="006844FA" w:rsidRDefault="006844FA" w:rsidP="00C874B3">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DB065" w14:textId="3DD5BB78" w:rsidR="006844FA" w:rsidRPr="00F30A12" w:rsidRDefault="006844FA" w:rsidP="00F30A12">
    <w:pPr>
      <w:pBdr>
        <w:top w:val="single" w:sz="12" w:space="1" w:color="31849B"/>
      </w:pBdr>
      <w:tabs>
        <w:tab w:val="right" w:pos="10206"/>
      </w:tabs>
      <w:spacing w:before="240" w:after="0" w:line="240" w:lineRule="auto"/>
      <w:rPr>
        <w:rFonts w:ascii="Arial Narrow" w:hAnsi="Arial Narrow"/>
        <w:b/>
        <w:smallCaps/>
        <w:color w:val="31849B"/>
      </w:rPr>
    </w:pPr>
    <w:r w:rsidRPr="00F30A12">
      <w:rPr>
        <w:rFonts w:ascii="Arial Narrow" w:hAnsi="Arial Narrow"/>
        <w:b/>
        <w:smallCaps/>
        <w:color w:val="31849B"/>
      </w:rPr>
      <w:t>SERVIZIO PER L’ANALISI DEI DATI E LA RICERCA ECONOMICA, SOCIALE E AMBIENTALE</w:t>
    </w:r>
    <w:r w:rsidRPr="00F30A12">
      <w:rPr>
        <w:rFonts w:ascii="Arial Narrow" w:hAnsi="Arial Narrow"/>
        <w:b/>
        <w:smallCaps/>
        <w:color w:val="31849B"/>
      </w:rPr>
      <w:tab/>
    </w:r>
    <w:r w:rsidRPr="00F30A12">
      <w:rPr>
        <w:rStyle w:val="02bissottotitoloneCarattere"/>
        <w:rFonts w:ascii="Arial Narrow" w:hAnsi="Arial Narrow"/>
        <w:color w:val="31849B"/>
      </w:rPr>
      <w:fldChar w:fldCharType="begin"/>
    </w:r>
    <w:r w:rsidRPr="00F30A12">
      <w:rPr>
        <w:rStyle w:val="02bissottotitoloneCarattere"/>
        <w:rFonts w:ascii="Arial Narrow" w:hAnsi="Arial Narrow"/>
        <w:color w:val="31849B"/>
      </w:rPr>
      <w:instrText xml:space="preserve">PAGE  </w:instrText>
    </w:r>
    <w:r w:rsidRPr="00F30A12">
      <w:rPr>
        <w:rStyle w:val="02bissottotitoloneCarattere"/>
        <w:rFonts w:ascii="Arial Narrow" w:hAnsi="Arial Narrow"/>
        <w:color w:val="31849B"/>
      </w:rPr>
      <w:fldChar w:fldCharType="separate"/>
    </w:r>
    <w:r w:rsidR="005669E5">
      <w:rPr>
        <w:rStyle w:val="02bissottotitoloneCarattere"/>
        <w:rFonts w:ascii="Arial Narrow" w:hAnsi="Arial Narrow"/>
        <w:noProof/>
        <w:color w:val="31849B"/>
      </w:rPr>
      <w:t>19</w:t>
    </w:r>
    <w:r w:rsidRPr="00F30A12">
      <w:rPr>
        <w:rStyle w:val="02bissottotitoloneCarattere"/>
        <w:rFonts w:ascii="Arial Narrow" w:hAnsi="Arial Narrow"/>
        <w:color w:val="31849B"/>
      </w:rPr>
      <w:fldChar w:fldCharType="end"/>
    </w:r>
  </w:p>
  <w:p w14:paraId="4674EA0F" w14:textId="77777777" w:rsidR="006844FA" w:rsidRDefault="006844FA" w:rsidP="00634EF8">
    <w:pPr>
      <w:spacing w:after="0" w:line="240" w:lineRule="auto"/>
      <w:ind w:left="-1701" w:right="35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85E8D" w14:textId="6EFEC2F4" w:rsidR="006844FA" w:rsidRPr="00F30A12" w:rsidRDefault="006844FA" w:rsidP="00F30A12">
    <w:pPr>
      <w:pBdr>
        <w:top w:val="single" w:sz="12" w:space="1" w:color="31849B"/>
      </w:pBdr>
      <w:tabs>
        <w:tab w:val="right" w:pos="10206"/>
      </w:tabs>
      <w:spacing w:before="240" w:after="240" w:line="240" w:lineRule="auto"/>
      <w:rPr>
        <w:rFonts w:ascii="Arial Narrow" w:hAnsi="Arial Narrow"/>
        <w:b/>
        <w:smallCaps/>
        <w:color w:val="31849B"/>
      </w:rPr>
    </w:pPr>
    <w:r w:rsidRPr="00F30A12">
      <w:rPr>
        <w:rFonts w:ascii="Arial Narrow" w:hAnsi="Arial Narrow"/>
        <w:b/>
        <w:smallCaps/>
        <w:color w:val="31849B"/>
      </w:rPr>
      <w:t>SERVIZIO PER L’ANALISI DEI DATI E LA RICERCA ECONOMICA, SOCIALE E AMBIENTALE</w:t>
    </w:r>
    <w:r w:rsidRPr="00F30A12">
      <w:rPr>
        <w:rFonts w:ascii="Arial Narrow" w:hAnsi="Arial Narrow"/>
        <w:b/>
        <w:smallCaps/>
        <w:color w:val="31849B"/>
      </w:rPr>
      <w:tab/>
    </w:r>
    <w:r w:rsidRPr="00F30A12">
      <w:rPr>
        <w:rStyle w:val="02bissottotitoloneCarattere"/>
        <w:rFonts w:ascii="Arial Narrow" w:hAnsi="Arial Narrow"/>
        <w:bCs w:val="0"/>
        <w:noProof/>
        <w:color w:val="31849B"/>
      </w:rPr>
      <w:fldChar w:fldCharType="begin"/>
    </w:r>
    <w:r w:rsidRPr="00F30A12">
      <w:rPr>
        <w:rStyle w:val="02bissottotitoloneCarattere"/>
        <w:rFonts w:ascii="Arial Narrow" w:hAnsi="Arial Narrow"/>
        <w:bCs w:val="0"/>
        <w:noProof/>
        <w:color w:val="31849B"/>
      </w:rPr>
      <w:instrText xml:space="preserve">PAGE  </w:instrText>
    </w:r>
    <w:r w:rsidRPr="00F30A12">
      <w:rPr>
        <w:rStyle w:val="02bissottotitoloneCarattere"/>
        <w:rFonts w:ascii="Arial Narrow" w:hAnsi="Arial Narrow"/>
        <w:bCs w:val="0"/>
        <w:noProof/>
        <w:color w:val="31849B"/>
      </w:rPr>
      <w:fldChar w:fldCharType="separate"/>
    </w:r>
    <w:r w:rsidR="005669E5">
      <w:rPr>
        <w:rStyle w:val="02bissottotitoloneCarattere"/>
        <w:rFonts w:ascii="Arial Narrow" w:hAnsi="Arial Narrow"/>
        <w:bCs w:val="0"/>
        <w:noProof/>
        <w:color w:val="31849B"/>
      </w:rPr>
      <w:t>1</w:t>
    </w:r>
    <w:r w:rsidRPr="00F30A12">
      <w:rPr>
        <w:rStyle w:val="02bissottotitoloneCarattere"/>
        <w:rFonts w:ascii="Arial Narrow" w:hAnsi="Arial Narrow"/>
        <w:bCs w:val="0"/>
        <w:noProof/>
        <w:color w:val="31849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D1B4D" w14:textId="77777777" w:rsidR="00E51F9E" w:rsidRDefault="00E51F9E" w:rsidP="00E537A4">
      <w:pPr>
        <w:spacing w:after="0" w:line="240" w:lineRule="auto"/>
      </w:pPr>
      <w:r>
        <w:separator/>
      </w:r>
    </w:p>
  </w:footnote>
  <w:footnote w:type="continuationSeparator" w:id="0">
    <w:p w14:paraId="4B9FABC7" w14:textId="77777777" w:rsidR="00E51F9E" w:rsidRDefault="00E51F9E" w:rsidP="00E537A4">
      <w:pPr>
        <w:spacing w:after="0" w:line="240" w:lineRule="auto"/>
      </w:pPr>
      <w:r>
        <w:continuationSeparator/>
      </w:r>
    </w:p>
  </w:footnote>
  <w:footnote w:type="continuationNotice" w:id="1">
    <w:p w14:paraId="2543AE33" w14:textId="77777777" w:rsidR="00E51F9E" w:rsidRDefault="00E51F9E" w:rsidP="00E537A4">
      <w:pPr>
        <w:spacing w:after="0" w:line="240" w:lineRule="auto"/>
      </w:pPr>
    </w:p>
  </w:footnote>
  <w:footnote w:id="2">
    <w:p w14:paraId="695690DE" w14:textId="77777777" w:rsidR="006844FA" w:rsidRDefault="006844FA" w:rsidP="006B1563">
      <w:pPr>
        <w:pStyle w:val="014notapipagina"/>
      </w:pPr>
      <w:r>
        <w:rPr>
          <w:rStyle w:val="Rimandonotaapidipagina"/>
        </w:rPr>
        <w:footnoteRef/>
      </w:r>
      <w:r>
        <w:t xml:space="preserve"> Si rimanda alla speciale sezione sul sito </w:t>
      </w:r>
      <w:hyperlink r:id="rId1" w:history="1">
        <w:r w:rsidRPr="00525009">
          <w:rPr>
            <w:rStyle w:val="Collegamentoipertestuale"/>
          </w:rPr>
          <w:t>https://www.istat.it/it/archivio/239854</w:t>
        </w:r>
      </w:hyperlink>
      <w:r>
        <w:t xml:space="preserve"> al cui interno vi è una specifica sezione dedicata all’economia.</w:t>
      </w:r>
    </w:p>
  </w:footnote>
  <w:footnote w:id="3">
    <w:p w14:paraId="3900802C" w14:textId="5C4103E0" w:rsidR="006844FA" w:rsidRDefault="006844FA" w:rsidP="006B1563">
      <w:pPr>
        <w:pStyle w:val="014notapipagina"/>
      </w:pPr>
      <w:r>
        <w:rPr>
          <w:rStyle w:val="Rimandonotaapidipagina"/>
        </w:rPr>
        <w:footnoteRef/>
      </w:r>
      <w:r>
        <w:t xml:space="preserve"> Si veda Nota mensile dell’economia italiana di marzo e aprile (</w:t>
      </w:r>
      <w:hyperlink r:id="rId2" w:history="1">
        <w:r>
          <w:rPr>
            <w:rStyle w:val="Collegamentoipertestuale"/>
          </w:rPr>
          <w:t>https://www.istat.it/it/archivio/241033</w:t>
        </w:r>
      </w:hyperlink>
      <w:r>
        <w:t xml:space="preserve">, </w:t>
      </w:r>
      <w:hyperlink r:id="rId3" w:history="1">
        <w:r>
          <w:rPr>
            <w:rStyle w:val="Collegamentoipertestuale"/>
          </w:rPr>
          <w:t>https://www.istat.it/it/archivio/242505</w:t>
        </w:r>
      </w:hyperlink>
      <w:r>
        <w:t>)</w:t>
      </w:r>
    </w:p>
  </w:footnote>
  <w:footnote w:id="4">
    <w:p w14:paraId="22A32022" w14:textId="0BC8F956" w:rsidR="006844FA" w:rsidRDefault="006844FA" w:rsidP="004D66AF">
      <w:pPr>
        <w:pStyle w:val="014notapipagina"/>
      </w:pPr>
      <w:r>
        <w:rPr>
          <w:rStyle w:val="Rimandonotaapidipagina"/>
        </w:rPr>
        <w:footnoteRef/>
      </w:r>
      <w:r>
        <w:t xml:space="preserve"> Le indagini sulla fiducia di consumatori e imprese sono state sospese</w:t>
      </w:r>
      <w:r w:rsidRPr="00A66035">
        <w:t xml:space="preserve"> nel mese di aprile 2020</w:t>
      </w:r>
      <w:r>
        <w:t xml:space="preserve"> a causa dell’emergenza sanitaria in corso.</w:t>
      </w:r>
    </w:p>
  </w:footnote>
  <w:footnote w:id="5">
    <w:p w14:paraId="71EA3436" w14:textId="104EFBFE" w:rsidR="006844FA" w:rsidRDefault="006844FA" w:rsidP="001224EC">
      <w:pPr>
        <w:pStyle w:val="014notapipagina"/>
      </w:pPr>
      <w:r>
        <w:rPr>
          <w:rStyle w:val="Rimandonotaapidipagina"/>
        </w:rPr>
        <w:footnoteRef/>
      </w:r>
      <w:r>
        <w:t xml:space="preserve"> Si rimanda a</w:t>
      </w:r>
      <w:r w:rsidRPr="00745C99">
        <w:t>l decreto legge 18/2020 (detto ‘Cura Italia’), convertito dalla L. 24 aprile 2020 n. 27</w:t>
      </w:r>
      <w:r>
        <w:t xml:space="preserve"> e all’approfondimento contenuto nella nota di aprile su </w:t>
      </w:r>
      <w:hyperlink r:id="rId4" w:history="1">
        <w:r w:rsidRPr="001224EC">
          <w:rPr>
            <w:rStyle w:val="Collegamentoipertestuale"/>
            <w:rFonts w:cs="Arial"/>
          </w:rPr>
          <w:t>occupati e disoccupati</w:t>
        </w:r>
      </w:hyperlink>
    </w:p>
  </w:footnote>
  <w:footnote w:id="6">
    <w:p w14:paraId="40E1FBE5" w14:textId="77777777" w:rsidR="006844FA" w:rsidRDefault="006844FA" w:rsidP="00ED7ABC">
      <w:pPr>
        <w:pStyle w:val="014notapipagina"/>
      </w:pPr>
      <w:r>
        <w:rPr>
          <w:rStyle w:val="Rimandonotaapidipagina"/>
        </w:rPr>
        <w:footnoteRef/>
      </w:r>
      <w:r>
        <w:t xml:space="preserve"> L’emergenza sanitaria legata al diffondersi del COVID-19 ha comportato da marzo la sospensione della rilevazione e/o la modifica delle sue modalità per numerose voci di spesa che ricadono all’interno di questi due raggruppamenti. Ne consegue la necessità di una elevata cautela nella interpretazione dei dati ai fini dell’analisi degli effetti indotti sulla dinamica dei prezzi dalla crisi sanitaria.</w:t>
      </w:r>
    </w:p>
  </w:footnote>
  <w:footnote w:id="7">
    <w:p w14:paraId="5B7DBBEC" w14:textId="3A0EC132" w:rsidR="006844FA" w:rsidRDefault="006844FA" w:rsidP="00303A5C">
      <w:pPr>
        <w:pStyle w:val="014notapipagina"/>
      </w:pPr>
      <w:r>
        <w:rPr>
          <w:rStyle w:val="Rimandonotaapidipagina"/>
        </w:rPr>
        <w:footnoteRef/>
      </w:r>
      <w:r>
        <w:t xml:space="preserve"> Questa analisi riprende i contributi già presentati nell’approfondimento dedicato ai moltiplicatori del modello MeMo-It contenuto in: Le prospettive per l’economia italiana nel 2018-2019 (Istat).</w:t>
      </w:r>
    </w:p>
  </w:footnote>
  <w:footnote w:id="8">
    <w:p w14:paraId="598A5362" w14:textId="77777777" w:rsidR="006844FA" w:rsidRPr="00DA6161" w:rsidRDefault="006844FA" w:rsidP="008A2D9A">
      <w:pPr>
        <w:pStyle w:val="014notapipagina"/>
        <w:rPr>
          <w:lang w:val="en-GB"/>
        </w:rPr>
      </w:pPr>
      <w:r>
        <w:rPr>
          <w:rStyle w:val="Rimandonotaapidipagina"/>
        </w:rPr>
        <w:footnoteRef/>
      </w:r>
      <w:r>
        <w:t xml:space="preserve"> Per i dettagli sulla struttura delle equazioni si rimanda a </w:t>
      </w:r>
      <w:r w:rsidRPr="00E9234B">
        <w:t xml:space="preserve">Bacchini, F., Golinelli, R., Jona-Lasinio, C., &amp; Zurlo, D. (2020). </w:t>
      </w:r>
      <w:r w:rsidRPr="00DA6161">
        <w:rPr>
          <w:lang w:val="en-GB"/>
        </w:rPr>
        <w:t>Modelling public and private investment in innovation. GROWINPRO Working paper n. 6/2020</w:t>
      </w:r>
    </w:p>
  </w:footnote>
  <w:footnote w:id="9">
    <w:p w14:paraId="4A4C9D4C" w14:textId="5E0985DE" w:rsidR="006844FA" w:rsidRDefault="006844FA" w:rsidP="00901E64">
      <w:pPr>
        <w:pStyle w:val="014notapipagina"/>
      </w:pPr>
      <w:r>
        <w:rPr>
          <w:rStyle w:val="Rimandonotaapidipagina"/>
        </w:rPr>
        <w:footnoteRef/>
      </w:r>
      <w:r>
        <w:t xml:space="preserve"> Per i dettagli si rimanda alla nota metodologica.</w:t>
      </w:r>
    </w:p>
  </w:footnote>
  <w:footnote w:id="10">
    <w:p w14:paraId="7E5F3202" w14:textId="77777777" w:rsidR="006844FA" w:rsidRPr="00403DEB" w:rsidRDefault="006844FA" w:rsidP="00901E64">
      <w:pPr>
        <w:pStyle w:val="014notapipagina"/>
      </w:pPr>
      <w:r>
        <w:rPr>
          <w:rStyle w:val="Rimandonotaapidipagina"/>
        </w:rPr>
        <w:footnoteRef/>
      </w:r>
      <w:r>
        <w:t xml:space="preserve"> Tra i diversi lavori che sottolineano l’importanza degli aspetti distributivi nell’analisi dei comportamenti di consumo si rimanda a </w:t>
      </w:r>
      <w:r w:rsidRPr="00476674">
        <w:t xml:space="preserve">Vines, D., &amp; Wills, S. (2018). </w:t>
      </w:r>
      <w:r w:rsidRPr="00476674">
        <w:rPr>
          <w:lang w:val="en-GB"/>
        </w:rPr>
        <w:t>The rebuilding macroeconomic theory project: an analytical assessment. Oxford Review of Economic Policy</w:t>
      </w:r>
      <w:r>
        <w:rPr>
          <w:lang w:val="en-GB"/>
        </w:rPr>
        <w:t xml:space="preserve">, 34(1-2), 1-42 e a </w:t>
      </w:r>
      <w:r w:rsidRPr="00476674">
        <w:rPr>
          <w:lang w:val="en-GB"/>
        </w:rPr>
        <w:t>Jorgenson, D. W., &amp; Schreyer, P. (2017). Measuring individual economic well</w:t>
      </w:r>
      <w:r w:rsidRPr="00476674">
        <w:rPr>
          <w:rFonts w:ascii="Cambria Math" w:hAnsi="Cambria Math" w:cs="Cambria Math"/>
          <w:lang w:val="en-GB"/>
        </w:rPr>
        <w:t>‐</w:t>
      </w:r>
      <w:r w:rsidRPr="00476674">
        <w:rPr>
          <w:lang w:val="en-GB"/>
        </w:rPr>
        <w:t xml:space="preserve">being and social welfare within the framework of the system of national accounts. </w:t>
      </w:r>
      <w:r w:rsidRPr="00403DEB">
        <w:t>Review of Income and Wealth, 63, S460-S477.</w:t>
      </w:r>
    </w:p>
  </w:footnote>
  <w:footnote w:id="11">
    <w:p w14:paraId="74277771" w14:textId="77777777" w:rsidR="006844FA" w:rsidRPr="00403DEB" w:rsidRDefault="006844FA" w:rsidP="00901E64">
      <w:pPr>
        <w:pStyle w:val="014notapipagina"/>
      </w:pPr>
      <w:r>
        <w:rPr>
          <w:rStyle w:val="Rimandonotaapidipagina"/>
        </w:rPr>
        <w:footnoteRef/>
      </w:r>
      <w:r>
        <w:t xml:space="preserve"> Si rimanda a Bacchini, F., De Santis, R., Galizzi, L., Iannaccone, R., Jona-Lasinio, C. e Zurlo (2020). </w:t>
      </w:r>
      <w:r w:rsidRPr="009920C4">
        <w:rPr>
          <w:lang w:val="en-GB"/>
        </w:rPr>
        <w:t>Technical report on a macro evaluation of well-being using a macroeconometric model</w:t>
      </w:r>
      <w:r>
        <w:rPr>
          <w:lang w:val="en-GB"/>
        </w:rPr>
        <w:t xml:space="preserve">. </w:t>
      </w:r>
      <w:r w:rsidRPr="00403DEB">
        <w:t>Progetto MAKSWELL, deliverable 5.3 (disponibile a breve)</w:t>
      </w:r>
    </w:p>
  </w:footnote>
  <w:footnote w:id="12">
    <w:p w14:paraId="388958D5" w14:textId="77777777" w:rsidR="006844FA" w:rsidRPr="003702AC" w:rsidRDefault="006844FA" w:rsidP="00632447">
      <w:pPr>
        <w:pStyle w:val="014notapipagina"/>
      </w:pPr>
      <w:r w:rsidRPr="003702AC">
        <w:rPr>
          <w:rStyle w:val="Rimandonotaapidipagina"/>
          <w:rFonts w:cs="Arial"/>
        </w:rPr>
        <w:footnoteRef/>
      </w:r>
      <w:r w:rsidRPr="003702AC">
        <w:t xml:space="preserve"> Il modello di previsione è stato sviluppato da un gruppo di ricerca dell’Istat con il </w:t>
      </w:r>
      <w:r>
        <w:t>coordinamento scientifico</w:t>
      </w:r>
      <w:r w:rsidRPr="003702AC">
        <w:t xml:space="preserve"> d</w:t>
      </w:r>
      <w:r>
        <w:t>el Prof.</w:t>
      </w:r>
      <w:r w:rsidRPr="003702AC">
        <w:t xml:space="preserve"> Roberto Golinelli </w:t>
      </w:r>
      <w:r>
        <w:t>ordinario di econometria presso l</w:t>
      </w:r>
      <w:r w:rsidRPr="003702AC">
        <w:t>’Università di Bologna</w:t>
      </w:r>
      <w:r>
        <w:t>, Dipartimento di Scienze Economiche</w:t>
      </w:r>
      <w:r w:rsidRPr="003702AC">
        <w:t>.</w:t>
      </w:r>
    </w:p>
  </w:footnote>
  <w:footnote w:id="13">
    <w:p w14:paraId="0821B8A7" w14:textId="77777777" w:rsidR="006844FA" w:rsidRPr="003702AC" w:rsidRDefault="006844FA" w:rsidP="00632447">
      <w:pPr>
        <w:pStyle w:val="014notapipagina"/>
        <w:rPr>
          <w:rFonts w:eastAsia="Calibri"/>
        </w:rPr>
      </w:pPr>
      <w:r w:rsidRPr="003702AC">
        <w:rPr>
          <w:rStyle w:val="Rimandonotaapidipagina"/>
          <w:rFonts w:cs="Arial"/>
        </w:rPr>
        <w:footnoteRef/>
      </w:r>
      <w:r w:rsidRPr="003702AC">
        <w:t xml:space="preserve"> </w:t>
      </w:r>
      <w:r w:rsidRPr="003702AC">
        <w:rPr>
          <w:rFonts w:eastAsia="Calibri"/>
        </w:rPr>
        <w:t>I presupposti metodologici del modello muovono nel solco del tradizionale approccio della Cowles Commisison for Research in Economics (Klein, 1950; Fair, 2004) integrato con i fondamentali lavori di Dickey e Fuller (1979), Engle e Granger (1987), Sims, Stock e Watson (1990) e Johansen (1995) in tema di stima e inferenza con serie storiche potenzialmente generate da processi stocastici integrati e cointegrati; di Hsiao (1997a e 1997b) sulle proprietà degli stimatori con variabili strumentali nel contesto di processi stocastici non stazionari; di Hendry, Pagan e Sargan (1984), e Pesaran et al. (2001) sull'importanza della specificazione dinamica delle equazioni del modello.</w:t>
      </w:r>
    </w:p>
  </w:footnote>
  <w:footnote w:id="14">
    <w:p w14:paraId="10B586E8" w14:textId="77777777" w:rsidR="006844FA" w:rsidRDefault="006844FA" w:rsidP="00632447">
      <w:pPr>
        <w:pStyle w:val="014notapipagina"/>
      </w:pPr>
      <w:r>
        <w:rPr>
          <w:rStyle w:val="Rimandonotaapidipagina"/>
        </w:rPr>
        <w:footnoteRef/>
      </w:r>
      <w:r>
        <w:t xml:space="preserve"> Si veda anche De Masi (1997), Denis </w:t>
      </w:r>
      <w:r>
        <w:rPr>
          <w:i/>
        </w:rPr>
        <w:t>et al.</w:t>
      </w:r>
      <w:r>
        <w:t xml:space="preserve"> (2006), e </w:t>
      </w:r>
      <w:r>
        <w:rPr>
          <w:i/>
        </w:rPr>
        <w:t>Giorno et al.</w:t>
      </w:r>
      <w:r>
        <w:t xml:space="preserve"> (1995).</w:t>
      </w:r>
    </w:p>
  </w:footnote>
  <w:footnote w:id="15">
    <w:p w14:paraId="1F053A84" w14:textId="77777777" w:rsidR="006844FA" w:rsidRDefault="006844FA" w:rsidP="00632447">
      <w:pPr>
        <w:pStyle w:val="014notapipagina"/>
      </w:pPr>
      <w:r>
        <w:rPr>
          <w:rStyle w:val="Rimandonotaapidipagina"/>
        </w:rPr>
        <w:footnoteRef/>
      </w:r>
      <w:r>
        <w:t xml:space="preserve"> Le componenti di trend delle variabili utilizzate sono ottenute con il filtro di Hodrick e Prescott (1997).</w:t>
      </w:r>
    </w:p>
  </w:footnote>
  <w:footnote w:id="16">
    <w:p w14:paraId="26A29154" w14:textId="77777777" w:rsidR="006844FA" w:rsidRPr="00F47146" w:rsidRDefault="006844FA" w:rsidP="00632447">
      <w:pPr>
        <w:pStyle w:val="014notapipagina"/>
      </w:pPr>
      <w:r w:rsidRPr="00334265">
        <w:rPr>
          <w:rStyle w:val="Rimandonotaapidipagina"/>
        </w:rPr>
        <w:footnoteRef/>
      </w:r>
      <w:r w:rsidRPr="00F47146">
        <w:t xml:space="preserve"> Per un confronto fra modello del triangolo e NKPC si veda Gordon (2011).</w:t>
      </w:r>
    </w:p>
  </w:footnote>
  <w:footnote w:id="17">
    <w:p w14:paraId="45ADFFE8" w14:textId="77777777" w:rsidR="006844FA" w:rsidRPr="00F47146" w:rsidRDefault="006844FA" w:rsidP="00632447">
      <w:pPr>
        <w:pStyle w:val="014notapipagina"/>
      </w:pPr>
      <w:r w:rsidRPr="00334265">
        <w:rPr>
          <w:rStyle w:val="Rimandonotaapidipagina"/>
        </w:rPr>
        <w:footnoteRef/>
      </w:r>
      <w:r w:rsidRPr="00F47146">
        <w:t xml:space="preserve"> L’equazione per il salario è ispirata dal lavoro di Phillips (1958), la cui specificazione è qui modificata per tenere conto del tasso di inflazione; per una discussione si veda Golinelli (1998).</w:t>
      </w:r>
    </w:p>
  </w:footnote>
  <w:footnote w:id="18">
    <w:p w14:paraId="3F3F508E" w14:textId="77777777" w:rsidR="006844FA" w:rsidRPr="00F47146" w:rsidRDefault="006844FA" w:rsidP="00632447">
      <w:pPr>
        <w:pStyle w:val="014notapipagina"/>
      </w:pPr>
      <w:r w:rsidRPr="00334265">
        <w:rPr>
          <w:rStyle w:val="Rimandonotaapidipagina"/>
        </w:rPr>
        <w:footnoteRef/>
      </w:r>
      <w:r w:rsidRPr="00F47146">
        <w:t xml:space="preserve"> Prima dell’introduzione dell’euro è il cambio di riferimento è quello tra dollaro e lira. </w:t>
      </w:r>
    </w:p>
  </w:footnote>
  <w:footnote w:id="19">
    <w:p w14:paraId="7B02394A" w14:textId="77777777" w:rsidR="006844FA" w:rsidRDefault="006844FA" w:rsidP="00632447">
      <w:pPr>
        <w:pStyle w:val="014notapipagina"/>
      </w:pPr>
      <w:r>
        <w:rPr>
          <w:rStyle w:val="Rimandonotaapidipagina"/>
        </w:rPr>
        <w:footnoteRef/>
      </w:r>
      <w:r>
        <w:t xml:space="preserve"> Il riferimento per la compilazione dei conti del Resto del mondo da parte dell’Istat è costituito dalla Bilancia dei pagamenti elaborata dalla Banca d’Italia in base ai concetti e alle definizioni fissate nel V Manuale del Fondo Monetario Internazionale. Per un maggiore dettaglio si veda Istat (2005), parte seconda, capitolo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58ABB" w14:textId="125A8234" w:rsidR="006844FA" w:rsidRPr="002B16E8" w:rsidRDefault="006844FA" w:rsidP="00471A4C">
    <w:pPr>
      <w:pStyle w:val="052tabella-figurasottotitolo"/>
      <w:ind w:left="0"/>
    </w:pPr>
    <w:r w:rsidRPr="00F30A12">
      <w:rPr>
        <w:lang w:eastAsia="it-IT"/>
      </w:rPr>
      <w:drawing>
        <wp:inline distT="0" distB="0" distL="0" distR="0" wp14:anchorId="720FF5D3" wp14:editId="590AE75B">
          <wp:extent cx="1896745" cy="617855"/>
          <wp:effectExtent l="0" t="0" r="0" b="0"/>
          <wp:docPr id="2" name="Immagine 5" descr="previsioni-bol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revisioni-bolli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745" cy="6178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70543" w14:textId="77777777" w:rsidR="006844FA" w:rsidRPr="00317C08" w:rsidRDefault="006844FA" w:rsidP="00317C08">
    <w:pPr>
      <w:pStyle w:val="Intestazione"/>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E6D"/>
    <w:multiLevelType w:val="hybridMultilevel"/>
    <w:tmpl w:val="164A7DA2"/>
    <w:lvl w:ilvl="0" w:tplc="6066B5C0">
      <w:start w:val="1"/>
      <w:numFmt w:val="bullet"/>
      <w:lvlText w:val=""/>
      <w:lvlJc w:val="left"/>
      <w:pPr>
        <w:tabs>
          <w:tab w:val="num" w:pos="357"/>
        </w:tabs>
      </w:pPr>
      <w:rPr>
        <w:rFonts w:ascii="Webdings" w:hAnsi="Webdings" w:hint="default"/>
        <w:b w:val="0"/>
        <w:i w:val="0"/>
        <w:color w:val="E36C0A"/>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A1FFD"/>
    <w:multiLevelType w:val="hybridMultilevel"/>
    <w:tmpl w:val="69705E24"/>
    <w:lvl w:ilvl="0" w:tplc="1DD86F98">
      <w:numFmt w:val="bullet"/>
      <w:lvlText w:val=""/>
      <w:lvlJc w:val="left"/>
      <w:pPr>
        <w:ind w:left="2250" w:hanging="360"/>
      </w:pPr>
      <w:rPr>
        <w:rFonts w:ascii="Arial Narrow" w:eastAsia="Times New Roman" w:hAnsi="Arial Narrow" w:cs="Arial" w:hint="default"/>
        <w:sz w:val="20"/>
        <w:szCs w:val="20"/>
      </w:rPr>
    </w:lvl>
    <w:lvl w:ilvl="1" w:tplc="04100003" w:tentative="1">
      <w:start w:val="1"/>
      <w:numFmt w:val="bullet"/>
      <w:lvlText w:val="o"/>
      <w:lvlJc w:val="left"/>
      <w:pPr>
        <w:ind w:left="2970" w:hanging="360"/>
      </w:pPr>
      <w:rPr>
        <w:rFonts w:ascii="Courier New" w:hAnsi="Courier New" w:cs="Courier New" w:hint="default"/>
      </w:rPr>
    </w:lvl>
    <w:lvl w:ilvl="2" w:tplc="04100005" w:tentative="1">
      <w:start w:val="1"/>
      <w:numFmt w:val="bullet"/>
      <w:lvlText w:val=""/>
      <w:lvlJc w:val="left"/>
      <w:pPr>
        <w:ind w:left="3690" w:hanging="360"/>
      </w:pPr>
      <w:rPr>
        <w:rFonts w:ascii="Wingdings" w:hAnsi="Wingdings" w:hint="default"/>
      </w:rPr>
    </w:lvl>
    <w:lvl w:ilvl="3" w:tplc="04100001" w:tentative="1">
      <w:start w:val="1"/>
      <w:numFmt w:val="bullet"/>
      <w:lvlText w:val=""/>
      <w:lvlJc w:val="left"/>
      <w:pPr>
        <w:ind w:left="4410" w:hanging="360"/>
      </w:pPr>
      <w:rPr>
        <w:rFonts w:ascii="Symbol" w:hAnsi="Symbol" w:hint="default"/>
      </w:rPr>
    </w:lvl>
    <w:lvl w:ilvl="4" w:tplc="04100003" w:tentative="1">
      <w:start w:val="1"/>
      <w:numFmt w:val="bullet"/>
      <w:lvlText w:val="o"/>
      <w:lvlJc w:val="left"/>
      <w:pPr>
        <w:ind w:left="5130" w:hanging="360"/>
      </w:pPr>
      <w:rPr>
        <w:rFonts w:ascii="Courier New" w:hAnsi="Courier New" w:cs="Courier New" w:hint="default"/>
      </w:rPr>
    </w:lvl>
    <w:lvl w:ilvl="5" w:tplc="04100005" w:tentative="1">
      <w:start w:val="1"/>
      <w:numFmt w:val="bullet"/>
      <w:lvlText w:val=""/>
      <w:lvlJc w:val="left"/>
      <w:pPr>
        <w:ind w:left="5850" w:hanging="360"/>
      </w:pPr>
      <w:rPr>
        <w:rFonts w:ascii="Wingdings" w:hAnsi="Wingdings" w:hint="default"/>
      </w:rPr>
    </w:lvl>
    <w:lvl w:ilvl="6" w:tplc="04100001" w:tentative="1">
      <w:start w:val="1"/>
      <w:numFmt w:val="bullet"/>
      <w:lvlText w:val=""/>
      <w:lvlJc w:val="left"/>
      <w:pPr>
        <w:ind w:left="6570" w:hanging="360"/>
      </w:pPr>
      <w:rPr>
        <w:rFonts w:ascii="Symbol" w:hAnsi="Symbol" w:hint="default"/>
      </w:rPr>
    </w:lvl>
    <w:lvl w:ilvl="7" w:tplc="04100003" w:tentative="1">
      <w:start w:val="1"/>
      <w:numFmt w:val="bullet"/>
      <w:lvlText w:val="o"/>
      <w:lvlJc w:val="left"/>
      <w:pPr>
        <w:ind w:left="7290" w:hanging="360"/>
      </w:pPr>
      <w:rPr>
        <w:rFonts w:ascii="Courier New" w:hAnsi="Courier New" w:cs="Courier New" w:hint="default"/>
      </w:rPr>
    </w:lvl>
    <w:lvl w:ilvl="8" w:tplc="04100005" w:tentative="1">
      <w:start w:val="1"/>
      <w:numFmt w:val="bullet"/>
      <w:lvlText w:val=""/>
      <w:lvlJc w:val="left"/>
      <w:pPr>
        <w:ind w:left="8010" w:hanging="360"/>
      </w:pPr>
      <w:rPr>
        <w:rFonts w:ascii="Wingdings" w:hAnsi="Wingdings" w:hint="default"/>
      </w:rPr>
    </w:lvl>
  </w:abstractNum>
  <w:abstractNum w:abstractNumId="2" w15:restartNumberingAfterBreak="0">
    <w:nsid w:val="168C25ED"/>
    <w:multiLevelType w:val="hybridMultilevel"/>
    <w:tmpl w:val="3626E02C"/>
    <w:lvl w:ilvl="0" w:tplc="AEAA3470">
      <w:start w:val="1"/>
      <w:numFmt w:val="decimal"/>
      <w:lvlText w:val="%1."/>
      <w:lvlJc w:val="left"/>
      <w:pPr>
        <w:ind w:left="2174" w:hanging="360"/>
      </w:pPr>
      <w:rPr>
        <w:rFonts w:hint="default"/>
        <w:sz w:val="22"/>
      </w:rPr>
    </w:lvl>
    <w:lvl w:ilvl="1" w:tplc="04100019" w:tentative="1">
      <w:start w:val="1"/>
      <w:numFmt w:val="lowerLetter"/>
      <w:lvlText w:val="%2."/>
      <w:lvlJc w:val="left"/>
      <w:pPr>
        <w:ind w:left="2894" w:hanging="360"/>
      </w:pPr>
    </w:lvl>
    <w:lvl w:ilvl="2" w:tplc="0410001B" w:tentative="1">
      <w:start w:val="1"/>
      <w:numFmt w:val="lowerRoman"/>
      <w:lvlText w:val="%3."/>
      <w:lvlJc w:val="right"/>
      <w:pPr>
        <w:ind w:left="3614" w:hanging="180"/>
      </w:pPr>
    </w:lvl>
    <w:lvl w:ilvl="3" w:tplc="0410000F" w:tentative="1">
      <w:start w:val="1"/>
      <w:numFmt w:val="decimal"/>
      <w:lvlText w:val="%4."/>
      <w:lvlJc w:val="left"/>
      <w:pPr>
        <w:ind w:left="4334" w:hanging="360"/>
      </w:pPr>
    </w:lvl>
    <w:lvl w:ilvl="4" w:tplc="04100019" w:tentative="1">
      <w:start w:val="1"/>
      <w:numFmt w:val="lowerLetter"/>
      <w:lvlText w:val="%5."/>
      <w:lvlJc w:val="left"/>
      <w:pPr>
        <w:ind w:left="5054" w:hanging="360"/>
      </w:pPr>
    </w:lvl>
    <w:lvl w:ilvl="5" w:tplc="0410001B" w:tentative="1">
      <w:start w:val="1"/>
      <w:numFmt w:val="lowerRoman"/>
      <w:lvlText w:val="%6."/>
      <w:lvlJc w:val="right"/>
      <w:pPr>
        <w:ind w:left="5774" w:hanging="180"/>
      </w:pPr>
    </w:lvl>
    <w:lvl w:ilvl="6" w:tplc="0410000F" w:tentative="1">
      <w:start w:val="1"/>
      <w:numFmt w:val="decimal"/>
      <w:lvlText w:val="%7."/>
      <w:lvlJc w:val="left"/>
      <w:pPr>
        <w:ind w:left="6494" w:hanging="360"/>
      </w:pPr>
    </w:lvl>
    <w:lvl w:ilvl="7" w:tplc="04100019" w:tentative="1">
      <w:start w:val="1"/>
      <w:numFmt w:val="lowerLetter"/>
      <w:lvlText w:val="%8."/>
      <w:lvlJc w:val="left"/>
      <w:pPr>
        <w:ind w:left="7214" w:hanging="360"/>
      </w:pPr>
    </w:lvl>
    <w:lvl w:ilvl="8" w:tplc="0410001B" w:tentative="1">
      <w:start w:val="1"/>
      <w:numFmt w:val="lowerRoman"/>
      <w:lvlText w:val="%9."/>
      <w:lvlJc w:val="right"/>
      <w:pPr>
        <w:ind w:left="7934" w:hanging="180"/>
      </w:pPr>
    </w:lvl>
  </w:abstractNum>
  <w:abstractNum w:abstractNumId="3" w15:restartNumberingAfterBreak="0">
    <w:nsid w:val="1B8629F3"/>
    <w:multiLevelType w:val="hybridMultilevel"/>
    <w:tmpl w:val="2BC0C08C"/>
    <w:lvl w:ilvl="0" w:tplc="FACAD6C2">
      <w:start w:val="1"/>
      <w:numFmt w:val="bullet"/>
      <w:lvlText w:val="-"/>
      <w:lvlJc w:val="left"/>
      <w:pPr>
        <w:ind w:left="3283" w:hanging="360"/>
      </w:pPr>
      <w:rPr>
        <w:rFonts w:ascii="Arial Narrow" w:eastAsia="Times New Roman" w:hAnsi="Arial Narrow" w:cs="Times New Roman" w:hint="default"/>
      </w:rPr>
    </w:lvl>
    <w:lvl w:ilvl="1" w:tplc="04100003" w:tentative="1">
      <w:start w:val="1"/>
      <w:numFmt w:val="bullet"/>
      <w:lvlText w:val="o"/>
      <w:lvlJc w:val="left"/>
      <w:pPr>
        <w:ind w:left="4003" w:hanging="360"/>
      </w:pPr>
      <w:rPr>
        <w:rFonts w:ascii="Courier New" w:hAnsi="Courier New" w:cs="Courier New" w:hint="default"/>
      </w:rPr>
    </w:lvl>
    <w:lvl w:ilvl="2" w:tplc="04100005" w:tentative="1">
      <w:start w:val="1"/>
      <w:numFmt w:val="bullet"/>
      <w:lvlText w:val=""/>
      <w:lvlJc w:val="left"/>
      <w:pPr>
        <w:ind w:left="4723" w:hanging="360"/>
      </w:pPr>
      <w:rPr>
        <w:rFonts w:ascii="Wingdings" w:hAnsi="Wingdings" w:hint="default"/>
      </w:rPr>
    </w:lvl>
    <w:lvl w:ilvl="3" w:tplc="04100001" w:tentative="1">
      <w:start w:val="1"/>
      <w:numFmt w:val="bullet"/>
      <w:lvlText w:val=""/>
      <w:lvlJc w:val="left"/>
      <w:pPr>
        <w:ind w:left="5443" w:hanging="360"/>
      </w:pPr>
      <w:rPr>
        <w:rFonts w:ascii="Symbol" w:hAnsi="Symbol" w:hint="default"/>
      </w:rPr>
    </w:lvl>
    <w:lvl w:ilvl="4" w:tplc="04100003" w:tentative="1">
      <w:start w:val="1"/>
      <w:numFmt w:val="bullet"/>
      <w:lvlText w:val="o"/>
      <w:lvlJc w:val="left"/>
      <w:pPr>
        <w:ind w:left="6163" w:hanging="360"/>
      </w:pPr>
      <w:rPr>
        <w:rFonts w:ascii="Courier New" w:hAnsi="Courier New" w:cs="Courier New" w:hint="default"/>
      </w:rPr>
    </w:lvl>
    <w:lvl w:ilvl="5" w:tplc="04100005" w:tentative="1">
      <w:start w:val="1"/>
      <w:numFmt w:val="bullet"/>
      <w:lvlText w:val=""/>
      <w:lvlJc w:val="left"/>
      <w:pPr>
        <w:ind w:left="6883" w:hanging="360"/>
      </w:pPr>
      <w:rPr>
        <w:rFonts w:ascii="Wingdings" w:hAnsi="Wingdings" w:hint="default"/>
      </w:rPr>
    </w:lvl>
    <w:lvl w:ilvl="6" w:tplc="04100001" w:tentative="1">
      <w:start w:val="1"/>
      <w:numFmt w:val="bullet"/>
      <w:lvlText w:val=""/>
      <w:lvlJc w:val="left"/>
      <w:pPr>
        <w:ind w:left="7603" w:hanging="360"/>
      </w:pPr>
      <w:rPr>
        <w:rFonts w:ascii="Symbol" w:hAnsi="Symbol" w:hint="default"/>
      </w:rPr>
    </w:lvl>
    <w:lvl w:ilvl="7" w:tplc="04100003" w:tentative="1">
      <w:start w:val="1"/>
      <w:numFmt w:val="bullet"/>
      <w:lvlText w:val="o"/>
      <w:lvlJc w:val="left"/>
      <w:pPr>
        <w:ind w:left="8323" w:hanging="360"/>
      </w:pPr>
      <w:rPr>
        <w:rFonts w:ascii="Courier New" w:hAnsi="Courier New" w:cs="Courier New" w:hint="default"/>
      </w:rPr>
    </w:lvl>
    <w:lvl w:ilvl="8" w:tplc="04100005" w:tentative="1">
      <w:start w:val="1"/>
      <w:numFmt w:val="bullet"/>
      <w:lvlText w:val=""/>
      <w:lvlJc w:val="left"/>
      <w:pPr>
        <w:ind w:left="9043" w:hanging="360"/>
      </w:pPr>
      <w:rPr>
        <w:rFonts w:ascii="Wingdings" w:hAnsi="Wingdings" w:hint="default"/>
      </w:rPr>
    </w:lvl>
  </w:abstractNum>
  <w:abstractNum w:abstractNumId="4" w15:restartNumberingAfterBreak="0">
    <w:nsid w:val="1D557F25"/>
    <w:multiLevelType w:val="hybridMultilevel"/>
    <w:tmpl w:val="68D2B4D8"/>
    <w:lvl w:ilvl="0" w:tplc="FACAD6C2">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8C56AC"/>
    <w:multiLevelType w:val="hybridMultilevel"/>
    <w:tmpl w:val="C28060FE"/>
    <w:lvl w:ilvl="0" w:tplc="3FF61764">
      <w:start w:val="1"/>
      <w:numFmt w:val="lowerLetter"/>
      <w:lvlText w:val="(%1)"/>
      <w:lvlJc w:val="left"/>
      <w:pPr>
        <w:ind w:left="2174" w:hanging="360"/>
      </w:pPr>
      <w:rPr>
        <w:rFonts w:hint="default"/>
      </w:rPr>
    </w:lvl>
    <w:lvl w:ilvl="1" w:tplc="04100019" w:tentative="1">
      <w:start w:val="1"/>
      <w:numFmt w:val="lowerLetter"/>
      <w:lvlText w:val="%2."/>
      <w:lvlJc w:val="left"/>
      <w:pPr>
        <w:ind w:left="2894" w:hanging="360"/>
      </w:pPr>
    </w:lvl>
    <w:lvl w:ilvl="2" w:tplc="0410001B" w:tentative="1">
      <w:start w:val="1"/>
      <w:numFmt w:val="lowerRoman"/>
      <w:lvlText w:val="%3."/>
      <w:lvlJc w:val="right"/>
      <w:pPr>
        <w:ind w:left="3614" w:hanging="180"/>
      </w:pPr>
    </w:lvl>
    <w:lvl w:ilvl="3" w:tplc="0410000F" w:tentative="1">
      <w:start w:val="1"/>
      <w:numFmt w:val="decimal"/>
      <w:lvlText w:val="%4."/>
      <w:lvlJc w:val="left"/>
      <w:pPr>
        <w:ind w:left="4334" w:hanging="360"/>
      </w:pPr>
    </w:lvl>
    <w:lvl w:ilvl="4" w:tplc="04100019" w:tentative="1">
      <w:start w:val="1"/>
      <w:numFmt w:val="lowerLetter"/>
      <w:lvlText w:val="%5."/>
      <w:lvlJc w:val="left"/>
      <w:pPr>
        <w:ind w:left="5054" w:hanging="360"/>
      </w:pPr>
    </w:lvl>
    <w:lvl w:ilvl="5" w:tplc="0410001B" w:tentative="1">
      <w:start w:val="1"/>
      <w:numFmt w:val="lowerRoman"/>
      <w:lvlText w:val="%6."/>
      <w:lvlJc w:val="right"/>
      <w:pPr>
        <w:ind w:left="5774" w:hanging="180"/>
      </w:pPr>
    </w:lvl>
    <w:lvl w:ilvl="6" w:tplc="0410000F" w:tentative="1">
      <w:start w:val="1"/>
      <w:numFmt w:val="decimal"/>
      <w:lvlText w:val="%7."/>
      <w:lvlJc w:val="left"/>
      <w:pPr>
        <w:ind w:left="6494" w:hanging="360"/>
      </w:pPr>
    </w:lvl>
    <w:lvl w:ilvl="7" w:tplc="04100019" w:tentative="1">
      <w:start w:val="1"/>
      <w:numFmt w:val="lowerLetter"/>
      <w:lvlText w:val="%8."/>
      <w:lvlJc w:val="left"/>
      <w:pPr>
        <w:ind w:left="7214" w:hanging="360"/>
      </w:pPr>
    </w:lvl>
    <w:lvl w:ilvl="8" w:tplc="0410001B" w:tentative="1">
      <w:start w:val="1"/>
      <w:numFmt w:val="lowerRoman"/>
      <w:lvlText w:val="%9."/>
      <w:lvlJc w:val="right"/>
      <w:pPr>
        <w:ind w:left="7934" w:hanging="180"/>
      </w:pPr>
    </w:lvl>
  </w:abstractNum>
  <w:abstractNum w:abstractNumId="6" w15:restartNumberingAfterBreak="0">
    <w:nsid w:val="40F95E49"/>
    <w:multiLevelType w:val="hybridMultilevel"/>
    <w:tmpl w:val="BE5EB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B63F8"/>
    <w:multiLevelType w:val="hybridMultilevel"/>
    <w:tmpl w:val="047EACFA"/>
    <w:lvl w:ilvl="0" w:tplc="33E89D18">
      <w:start w:val="1"/>
      <w:numFmt w:val="bullet"/>
      <w:lvlText w:val=""/>
      <w:lvlJc w:val="left"/>
      <w:pPr>
        <w:tabs>
          <w:tab w:val="num" w:pos="357"/>
        </w:tabs>
      </w:pPr>
      <w:rPr>
        <w:rFonts w:ascii="Webdings" w:hAnsi="Webdings" w:hint="default"/>
        <w:b w:val="0"/>
        <w:i w:val="0"/>
        <w:color w:val="FF990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68524B"/>
    <w:multiLevelType w:val="hybridMultilevel"/>
    <w:tmpl w:val="DE2E2462"/>
    <w:lvl w:ilvl="0" w:tplc="AB266808">
      <w:start w:val="1"/>
      <w:numFmt w:val="bullet"/>
      <w:lvlText w:val=""/>
      <w:lvlJc w:val="left"/>
      <w:pPr>
        <w:tabs>
          <w:tab w:val="num" w:pos="357"/>
        </w:tabs>
      </w:pPr>
      <w:rPr>
        <w:rFonts w:ascii="Webdings" w:hAnsi="Webdings" w:hint="default"/>
        <w:b w:val="0"/>
        <w:i w:val="0"/>
        <w:color w:val="E36C0A"/>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37380"/>
    <w:multiLevelType w:val="hybridMultilevel"/>
    <w:tmpl w:val="93C80370"/>
    <w:lvl w:ilvl="0" w:tplc="D30AB854">
      <w:start w:val="1"/>
      <w:numFmt w:val="bullet"/>
      <w:lvlText w:val=""/>
      <w:lvlJc w:val="left"/>
      <w:pPr>
        <w:tabs>
          <w:tab w:val="num" w:pos="357"/>
        </w:tabs>
      </w:pPr>
      <w:rPr>
        <w:rFonts w:ascii="Webdings" w:hAnsi="Webdings" w:hint="default"/>
        <w:b w:val="0"/>
        <w:i w:val="0"/>
        <w:color w:val="008000"/>
        <w:sz w:val="20"/>
      </w:rPr>
    </w:lvl>
    <w:lvl w:ilvl="1" w:tplc="4B58C99E">
      <w:start w:val="1"/>
      <w:numFmt w:val="bullet"/>
      <w:pStyle w:val="017elencotriangolo"/>
      <w:lvlText w:val="►"/>
      <w:lvlJc w:val="left"/>
      <w:pPr>
        <w:tabs>
          <w:tab w:val="num" w:pos="357"/>
        </w:tabs>
      </w:pPr>
      <w:rPr>
        <w:rFonts w:ascii="Arial" w:hAnsi="Arial" w:hint="default"/>
        <w:b w:val="0"/>
        <w:i w:val="0"/>
        <w:color w:val="FF9900"/>
        <w:sz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23210B"/>
    <w:multiLevelType w:val="hybridMultilevel"/>
    <w:tmpl w:val="0F6849C2"/>
    <w:lvl w:ilvl="0" w:tplc="40AA28C8">
      <w:start w:val="1"/>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4F3B1C"/>
    <w:multiLevelType w:val="hybridMultilevel"/>
    <w:tmpl w:val="EF809A92"/>
    <w:lvl w:ilvl="0" w:tplc="66680AE0">
      <w:start w:val="1"/>
      <w:numFmt w:val="bullet"/>
      <w:lvlText w:val="&lt;"/>
      <w:lvlJc w:val="left"/>
      <w:pPr>
        <w:tabs>
          <w:tab w:val="num" w:pos="357"/>
        </w:tabs>
      </w:pPr>
      <w:rPr>
        <w:rFonts w:ascii="Webdings" w:hAnsi="Webdings" w:hint="default"/>
        <w:b w:val="0"/>
        <w:i w:val="0"/>
        <w:color w:val="E36C0A"/>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565D13"/>
    <w:multiLevelType w:val="multilevel"/>
    <w:tmpl w:val="959E4088"/>
    <w:lvl w:ilvl="0">
      <w:start w:val="1"/>
      <w:numFmt w:val="bullet"/>
      <w:lvlText w:val=""/>
      <w:lvlJc w:val="left"/>
      <w:pPr>
        <w:tabs>
          <w:tab w:val="num" w:pos="357"/>
        </w:tabs>
      </w:pPr>
      <w:rPr>
        <w:rFonts w:ascii="Webdings" w:hAnsi="Webdings" w:hint="default"/>
        <w:b w:val="0"/>
        <w:i w:val="0"/>
        <w:color w:val="FF990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AA2E7C"/>
    <w:multiLevelType w:val="hybridMultilevel"/>
    <w:tmpl w:val="F35A7D0C"/>
    <w:lvl w:ilvl="0" w:tplc="D30AB854">
      <w:start w:val="1"/>
      <w:numFmt w:val="bullet"/>
      <w:pStyle w:val="016elencoquadrettoverde"/>
      <w:lvlText w:val=""/>
      <w:lvlJc w:val="left"/>
      <w:pPr>
        <w:tabs>
          <w:tab w:val="num" w:pos="357"/>
        </w:tabs>
      </w:pPr>
      <w:rPr>
        <w:rFonts w:ascii="Webdings" w:hAnsi="Webdings" w:hint="default"/>
        <w:b w:val="0"/>
        <w:i w:val="0"/>
        <w:color w:val="008000"/>
        <w:sz w:val="20"/>
      </w:rPr>
    </w:lvl>
    <w:lvl w:ilvl="1" w:tplc="E3EED78C">
      <w:start w:val="1"/>
      <w:numFmt w:val="bullet"/>
      <w:lvlText w:val="►"/>
      <w:lvlJc w:val="left"/>
      <w:pPr>
        <w:tabs>
          <w:tab w:val="num" w:pos="1437"/>
        </w:tabs>
        <w:ind w:left="1080"/>
      </w:pPr>
      <w:rPr>
        <w:rFonts w:ascii="Arial" w:hAnsi="Arial" w:hint="default"/>
        <w:b w:val="0"/>
        <w:i w:val="0"/>
        <w:color w:val="FF990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B4E09"/>
    <w:multiLevelType w:val="hybridMultilevel"/>
    <w:tmpl w:val="A592605C"/>
    <w:lvl w:ilvl="0" w:tplc="4D38E09E">
      <w:start w:val="1"/>
      <w:numFmt w:val="lowerLetter"/>
      <w:lvlText w:val="(%1)"/>
      <w:lvlJc w:val="left"/>
      <w:pPr>
        <w:ind w:left="2923" w:hanging="360"/>
      </w:pPr>
      <w:rPr>
        <w:rFonts w:hint="default"/>
      </w:rPr>
    </w:lvl>
    <w:lvl w:ilvl="1" w:tplc="04100019" w:tentative="1">
      <w:start w:val="1"/>
      <w:numFmt w:val="lowerLetter"/>
      <w:lvlText w:val="%2."/>
      <w:lvlJc w:val="left"/>
      <w:pPr>
        <w:ind w:left="3643" w:hanging="360"/>
      </w:pPr>
    </w:lvl>
    <w:lvl w:ilvl="2" w:tplc="0410001B" w:tentative="1">
      <w:start w:val="1"/>
      <w:numFmt w:val="lowerRoman"/>
      <w:lvlText w:val="%3."/>
      <w:lvlJc w:val="right"/>
      <w:pPr>
        <w:ind w:left="4363" w:hanging="180"/>
      </w:pPr>
    </w:lvl>
    <w:lvl w:ilvl="3" w:tplc="0410000F" w:tentative="1">
      <w:start w:val="1"/>
      <w:numFmt w:val="decimal"/>
      <w:lvlText w:val="%4."/>
      <w:lvlJc w:val="left"/>
      <w:pPr>
        <w:ind w:left="5083" w:hanging="360"/>
      </w:pPr>
    </w:lvl>
    <w:lvl w:ilvl="4" w:tplc="04100019" w:tentative="1">
      <w:start w:val="1"/>
      <w:numFmt w:val="lowerLetter"/>
      <w:lvlText w:val="%5."/>
      <w:lvlJc w:val="left"/>
      <w:pPr>
        <w:ind w:left="5803" w:hanging="360"/>
      </w:pPr>
    </w:lvl>
    <w:lvl w:ilvl="5" w:tplc="0410001B" w:tentative="1">
      <w:start w:val="1"/>
      <w:numFmt w:val="lowerRoman"/>
      <w:lvlText w:val="%6."/>
      <w:lvlJc w:val="right"/>
      <w:pPr>
        <w:ind w:left="6523" w:hanging="180"/>
      </w:pPr>
    </w:lvl>
    <w:lvl w:ilvl="6" w:tplc="0410000F" w:tentative="1">
      <w:start w:val="1"/>
      <w:numFmt w:val="decimal"/>
      <w:lvlText w:val="%7."/>
      <w:lvlJc w:val="left"/>
      <w:pPr>
        <w:ind w:left="7243" w:hanging="360"/>
      </w:pPr>
    </w:lvl>
    <w:lvl w:ilvl="7" w:tplc="04100019" w:tentative="1">
      <w:start w:val="1"/>
      <w:numFmt w:val="lowerLetter"/>
      <w:lvlText w:val="%8."/>
      <w:lvlJc w:val="left"/>
      <w:pPr>
        <w:ind w:left="7963" w:hanging="360"/>
      </w:pPr>
    </w:lvl>
    <w:lvl w:ilvl="8" w:tplc="0410001B" w:tentative="1">
      <w:start w:val="1"/>
      <w:numFmt w:val="lowerRoman"/>
      <w:lvlText w:val="%9."/>
      <w:lvlJc w:val="right"/>
      <w:pPr>
        <w:ind w:left="8683" w:hanging="180"/>
      </w:pPr>
    </w:lvl>
  </w:abstractNum>
  <w:abstractNum w:abstractNumId="15" w15:restartNumberingAfterBreak="0">
    <w:nsid w:val="6484634C"/>
    <w:multiLevelType w:val="hybridMultilevel"/>
    <w:tmpl w:val="D574550A"/>
    <w:lvl w:ilvl="0" w:tplc="E75AE340">
      <w:start w:val="1"/>
      <w:numFmt w:val="bullet"/>
      <w:pStyle w:val="015elencoquadretto"/>
      <w:lvlText w:val=""/>
      <w:lvlJc w:val="left"/>
      <w:pPr>
        <w:tabs>
          <w:tab w:val="num" w:pos="357"/>
        </w:tabs>
      </w:pPr>
      <w:rPr>
        <w:rFonts w:ascii="Webdings" w:hAnsi="Webdings" w:hint="default"/>
        <w:b w:val="0"/>
        <w:i w:val="0"/>
        <w:color w:val="31849B"/>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CA7ABD"/>
    <w:multiLevelType w:val="hybridMultilevel"/>
    <w:tmpl w:val="C47C7AD6"/>
    <w:lvl w:ilvl="0" w:tplc="472CC31C">
      <w:start w:val="1"/>
      <w:numFmt w:val="bullet"/>
      <w:lvlText w:val="-"/>
      <w:lvlJc w:val="left"/>
      <w:pPr>
        <w:ind w:left="720" w:hanging="360"/>
      </w:pPr>
      <w:rPr>
        <w:rFonts w:ascii="HelveticaNeueLT Std Lt" w:eastAsia="Times New Roman" w:hAnsi="HelveticaNeueLT Std L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FB95584"/>
    <w:multiLevelType w:val="hybridMultilevel"/>
    <w:tmpl w:val="6B68DBFC"/>
    <w:lvl w:ilvl="0" w:tplc="C3C4CC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695C2D"/>
    <w:multiLevelType w:val="hybridMultilevel"/>
    <w:tmpl w:val="B8D8C9EC"/>
    <w:lvl w:ilvl="0" w:tplc="44F01E1E">
      <w:start w:val="1"/>
      <w:numFmt w:val="lowerLetter"/>
      <w:lvlText w:val="(%1)"/>
      <w:lvlJc w:val="left"/>
      <w:pPr>
        <w:ind w:left="4974" w:hanging="360"/>
      </w:pPr>
      <w:rPr>
        <w:rFonts w:hint="default"/>
      </w:rPr>
    </w:lvl>
    <w:lvl w:ilvl="1" w:tplc="04100019" w:tentative="1">
      <w:start w:val="1"/>
      <w:numFmt w:val="lowerLetter"/>
      <w:lvlText w:val="%2."/>
      <w:lvlJc w:val="left"/>
      <w:pPr>
        <w:ind w:left="5694" w:hanging="360"/>
      </w:pPr>
    </w:lvl>
    <w:lvl w:ilvl="2" w:tplc="0410001B" w:tentative="1">
      <w:start w:val="1"/>
      <w:numFmt w:val="lowerRoman"/>
      <w:lvlText w:val="%3."/>
      <w:lvlJc w:val="right"/>
      <w:pPr>
        <w:ind w:left="6414" w:hanging="180"/>
      </w:pPr>
    </w:lvl>
    <w:lvl w:ilvl="3" w:tplc="0410000F" w:tentative="1">
      <w:start w:val="1"/>
      <w:numFmt w:val="decimal"/>
      <w:lvlText w:val="%4."/>
      <w:lvlJc w:val="left"/>
      <w:pPr>
        <w:ind w:left="7134" w:hanging="360"/>
      </w:pPr>
    </w:lvl>
    <w:lvl w:ilvl="4" w:tplc="04100019" w:tentative="1">
      <w:start w:val="1"/>
      <w:numFmt w:val="lowerLetter"/>
      <w:lvlText w:val="%5."/>
      <w:lvlJc w:val="left"/>
      <w:pPr>
        <w:ind w:left="7854" w:hanging="360"/>
      </w:pPr>
    </w:lvl>
    <w:lvl w:ilvl="5" w:tplc="0410001B" w:tentative="1">
      <w:start w:val="1"/>
      <w:numFmt w:val="lowerRoman"/>
      <w:lvlText w:val="%6."/>
      <w:lvlJc w:val="right"/>
      <w:pPr>
        <w:ind w:left="8574" w:hanging="180"/>
      </w:pPr>
    </w:lvl>
    <w:lvl w:ilvl="6" w:tplc="0410000F" w:tentative="1">
      <w:start w:val="1"/>
      <w:numFmt w:val="decimal"/>
      <w:lvlText w:val="%7."/>
      <w:lvlJc w:val="left"/>
      <w:pPr>
        <w:ind w:left="9294" w:hanging="360"/>
      </w:pPr>
    </w:lvl>
    <w:lvl w:ilvl="7" w:tplc="04100019" w:tentative="1">
      <w:start w:val="1"/>
      <w:numFmt w:val="lowerLetter"/>
      <w:lvlText w:val="%8."/>
      <w:lvlJc w:val="left"/>
      <w:pPr>
        <w:ind w:left="10014" w:hanging="360"/>
      </w:pPr>
    </w:lvl>
    <w:lvl w:ilvl="8" w:tplc="0410001B" w:tentative="1">
      <w:start w:val="1"/>
      <w:numFmt w:val="lowerRoman"/>
      <w:lvlText w:val="%9."/>
      <w:lvlJc w:val="right"/>
      <w:pPr>
        <w:ind w:left="10734" w:hanging="180"/>
      </w:pPr>
    </w:lvl>
  </w:abstractNum>
  <w:abstractNum w:abstractNumId="19" w15:restartNumberingAfterBreak="0">
    <w:nsid w:val="73926D64"/>
    <w:multiLevelType w:val="hybridMultilevel"/>
    <w:tmpl w:val="EE280B98"/>
    <w:lvl w:ilvl="0" w:tplc="3E046F6A">
      <w:start w:val="1"/>
      <w:numFmt w:val="bullet"/>
      <w:lvlText w:val=""/>
      <w:lvlJc w:val="left"/>
      <w:pPr>
        <w:tabs>
          <w:tab w:val="num" w:pos="357"/>
        </w:tabs>
      </w:pPr>
      <w:rPr>
        <w:rFonts w:ascii="Webdings" w:hAnsi="Webdings" w:hint="default"/>
        <w:b w:val="0"/>
        <w:i w:val="0"/>
        <w:color w:val="FF9900"/>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56132"/>
    <w:multiLevelType w:val="hybridMultilevel"/>
    <w:tmpl w:val="376A6278"/>
    <w:lvl w:ilvl="0" w:tplc="3F3C39D0">
      <w:numFmt w:val="bullet"/>
      <w:lvlText w:val="-"/>
      <w:lvlJc w:val="left"/>
      <w:pPr>
        <w:ind w:left="720" w:hanging="360"/>
      </w:pPr>
      <w:rPr>
        <w:rFonts w:ascii="HelveticaNeueLT Std Lt" w:eastAsia="Times New Roman" w:hAnsi="HelveticaNeueLT Std L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F422FA"/>
    <w:multiLevelType w:val="hybridMultilevel"/>
    <w:tmpl w:val="6E7047A4"/>
    <w:lvl w:ilvl="0" w:tplc="D02A9610">
      <w:start w:val="1"/>
      <w:numFmt w:val="lowerLetter"/>
      <w:lvlText w:val="(%1)"/>
      <w:lvlJc w:val="left"/>
      <w:pPr>
        <w:ind w:left="2923" w:hanging="360"/>
      </w:pPr>
      <w:rPr>
        <w:rFonts w:hint="default"/>
      </w:rPr>
    </w:lvl>
    <w:lvl w:ilvl="1" w:tplc="04100019" w:tentative="1">
      <w:start w:val="1"/>
      <w:numFmt w:val="lowerLetter"/>
      <w:lvlText w:val="%2."/>
      <w:lvlJc w:val="left"/>
      <w:pPr>
        <w:ind w:left="3643" w:hanging="360"/>
      </w:pPr>
    </w:lvl>
    <w:lvl w:ilvl="2" w:tplc="0410001B" w:tentative="1">
      <w:start w:val="1"/>
      <w:numFmt w:val="lowerRoman"/>
      <w:lvlText w:val="%3."/>
      <w:lvlJc w:val="right"/>
      <w:pPr>
        <w:ind w:left="4363" w:hanging="180"/>
      </w:pPr>
    </w:lvl>
    <w:lvl w:ilvl="3" w:tplc="0410000F" w:tentative="1">
      <w:start w:val="1"/>
      <w:numFmt w:val="decimal"/>
      <w:lvlText w:val="%4."/>
      <w:lvlJc w:val="left"/>
      <w:pPr>
        <w:ind w:left="5083" w:hanging="360"/>
      </w:pPr>
    </w:lvl>
    <w:lvl w:ilvl="4" w:tplc="04100019" w:tentative="1">
      <w:start w:val="1"/>
      <w:numFmt w:val="lowerLetter"/>
      <w:lvlText w:val="%5."/>
      <w:lvlJc w:val="left"/>
      <w:pPr>
        <w:ind w:left="5803" w:hanging="360"/>
      </w:pPr>
    </w:lvl>
    <w:lvl w:ilvl="5" w:tplc="0410001B" w:tentative="1">
      <w:start w:val="1"/>
      <w:numFmt w:val="lowerRoman"/>
      <w:lvlText w:val="%6."/>
      <w:lvlJc w:val="right"/>
      <w:pPr>
        <w:ind w:left="6523" w:hanging="180"/>
      </w:pPr>
    </w:lvl>
    <w:lvl w:ilvl="6" w:tplc="0410000F" w:tentative="1">
      <w:start w:val="1"/>
      <w:numFmt w:val="decimal"/>
      <w:lvlText w:val="%7."/>
      <w:lvlJc w:val="left"/>
      <w:pPr>
        <w:ind w:left="7243" w:hanging="360"/>
      </w:pPr>
    </w:lvl>
    <w:lvl w:ilvl="7" w:tplc="04100019" w:tentative="1">
      <w:start w:val="1"/>
      <w:numFmt w:val="lowerLetter"/>
      <w:lvlText w:val="%8."/>
      <w:lvlJc w:val="left"/>
      <w:pPr>
        <w:ind w:left="7963" w:hanging="360"/>
      </w:pPr>
    </w:lvl>
    <w:lvl w:ilvl="8" w:tplc="0410001B" w:tentative="1">
      <w:start w:val="1"/>
      <w:numFmt w:val="lowerRoman"/>
      <w:lvlText w:val="%9."/>
      <w:lvlJc w:val="right"/>
      <w:pPr>
        <w:ind w:left="8683" w:hanging="180"/>
      </w:pPr>
    </w:lvl>
  </w:abstractNum>
  <w:abstractNum w:abstractNumId="22" w15:restartNumberingAfterBreak="0">
    <w:nsid w:val="7D2013AF"/>
    <w:multiLevelType w:val="hybridMultilevel"/>
    <w:tmpl w:val="D4CAC284"/>
    <w:lvl w:ilvl="0" w:tplc="8EB8BF78">
      <w:start w:val="1"/>
      <w:numFmt w:val="lowerLetter"/>
      <w:lvlText w:val="(%1)"/>
      <w:lvlJc w:val="left"/>
      <w:pPr>
        <w:ind w:left="2174" w:hanging="360"/>
      </w:pPr>
      <w:rPr>
        <w:rFonts w:hint="default"/>
      </w:rPr>
    </w:lvl>
    <w:lvl w:ilvl="1" w:tplc="04100019" w:tentative="1">
      <w:start w:val="1"/>
      <w:numFmt w:val="lowerLetter"/>
      <w:lvlText w:val="%2."/>
      <w:lvlJc w:val="left"/>
      <w:pPr>
        <w:ind w:left="2894" w:hanging="360"/>
      </w:pPr>
    </w:lvl>
    <w:lvl w:ilvl="2" w:tplc="0410001B" w:tentative="1">
      <w:start w:val="1"/>
      <w:numFmt w:val="lowerRoman"/>
      <w:lvlText w:val="%3."/>
      <w:lvlJc w:val="right"/>
      <w:pPr>
        <w:ind w:left="3614" w:hanging="180"/>
      </w:pPr>
    </w:lvl>
    <w:lvl w:ilvl="3" w:tplc="0410000F" w:tentative="1">
      <w:start w:val="1"/>
      <w:numFmt w:val="decimal"/>
      <w:lvlText w:val="%4."/>
      <w:lvlJc w:val="left"/>
      <w:pPr>
        <w:ind w:left="4334" w:hanging="360"/>
      </w:pPr>
    </w:lvl>
    <w:lvl w:ilvl="4" w:tplc="04100019" w:tentative="1">
      <w:start w:val="1"/>
      <w:numFmt w:val="lowerLetter"/>
      <w:lvlText w:val="%5."/>
      <w:lvlJc w:val="left"/>
      <w:pPr>
        <w:ind w:left="5054" w:hanging="360"/>
      </w:pPr>
    </w:lvl>
    <w:lvl w:ilvl="5" w:tplc="0410001B" w:tentative="1">
      <w:start w:val="1"/>
      <w:numFmt w:val="lowerRoman"/>
      <w:lvlText w:val="%6."/>
      <w:lvlJc w:val="right"/>
      <w:pPr>
        <w:ind w:left="5774" w:hanging="180"/>
      </w:pPr>
    </w:lvl>
    <w:lvl w:ilvl="6" w:tplc="0410000F" w:tentative="1">
      <w:start w:val="1"/>
      <w:numFmt w:val="decimal"/>
      <w:lvlText w:val="%7."/>
      <w:lvlJc w:val="left"/>
      <w:pPr>
        <w:ind w:left="6494" w:hanging="360"/>
      </w:pPr>
    </w:lvl>
    <w:lvl w:ilvl="7" w:tplc="04100019" w:tentative="1">
      <w:start w:val="1"/>
      <w:numFmt w:val="lowerLetter"/>
      <w:lvlText w:val="%8."/>
      <w:lvlJc w:val="left"/>
      <w:pPr>
        <w:ind w:left="7214" w:hanging="360"/>
      </w:pPr>
    </w:lvl>
    <w:lvl w:ilvl="8" w:tplc="0410001B" w:tentative="1">
      <w:start w:val="1"/>
      <w:numFmt w:val="lowerRoman"/>
      <w:lvlText w:val="%9."/>
      <w:lvlJc w:val="right"/>
      <w:pPr>
        <w:ind w:left="7934" w:hanging="180"/>
      </w:pPr>
    </w:lvl>
  </w:abstractNum>
  <w:num w:numId="1">
    <w:abstractNumId w:val="13"/>
  </w:num>
  <w:num w:numId="2">
    <w:abstractNumId w:val="7"/>
  </w:num>
  <w:num w:numId="3">
    <w:abstractNumId w:val="9"/>
  </w:num>
  <w:num w:numId="4">
    <w:abstractNumId w:val="6"/>
  </w:num>
  <w:num w:numId="5">
    <w:abstractNumId w:val="12"/>
  </w:num>
  <w:num w:numId="6">
    <w:abstractNumId w:val="19"/>
  </w:num>
  <w:num w:numId="7">
    <w:abstractNumId w:val="16"/>
  </w:num>
  <w:num w:numId="8">
    <w:abstractNumId w:val="20"/>
  </w:num>
  <w:num w:numId="9">
    <w:abstractNumId w:val="11"/>
  </w:num>
  <w:num w:numId="10">
    <w:abstractNumId w:val="0"/>
  </w:num>
  <w:num w:numId="11">
    <w:abstractNumId w:val="8"/>
  </w:num>
  <w:num w:numId="12">
    <w:abstractNumId w:val="15"/>
  </w:num>
  <w:num w:numId="13">
    <w:abstractNumId w:val="5"/>
  </w:num>
  <w:num w:numId="14">
    <w:abstractNumId w:val="10"/>
  </w:num>
  <w:num w:numId="15">
    <w:abstractNumId w:val="4"/>
  </w:num>
  <w:num w:numId="16">
    <w:abstractNumId w:val="18"/>
  </w:num>
  <w:num w:numId="17">
    <w:abstractNumId w:val="14"/>
  </w:num>
  <w:num w:numId="18">
    <w:abstractNumId w:val="21"/>
  </w:num>
  <w:num w:numId="19">
    <w:abstractNumId w:val="3"/>
  </w:num>
  <w:num w:numId="20">
    <w:abstractNumId w:val="17"/>
  </w:num>
  <w:num w:numId="21">
    <w:abstractNumId w:val="15"/>
  </w:num>
  <w:num w:numId="22">
    <w:abstractNumId w:val="15"/>
  </w:num>
  <w:num w:numId="23">
    <w:abstractNumId w:val="15"/>
  </w:num>
  <w:num w:numId="24">
    <w:abstractNumId w:val="15"/>
  </w:num>
  <w:num w:numId="25">
    <w:abstractNumId w:val="22"/>
  </w:num>
  <w:num w:numId="26">
    <w:abstractNumId w:val="15"/>
  </w:num>
  <w:num w:numId="27">
    <w:abstractNumId w:val="15"/>
  </w:num>
  <w:num w:numId="28">
    <w:abstractNumId w:val="15"/>
  </w:num>
  <w:num w:numId="29">
    <w:abstractNumId w:val="2"/>
  </w:num>
  <w:num w:numId="30">
    <w:abstractNumId w:val="15"/>
  </w:num>
  <w:num w:numId="31">
    <w:abstractNumId w:val="15"/>
  </w:num>
  <w:num w:numId="32">
    <w:abstractNumId w:val="15"/>
  </w:num>
  <w:num w:numId="33">
    <w:abstractNumId w:val="15"/>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284"/>
  <w:hyphenationZone w:val="283"/>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4D4"/>
    <w:rsid w:val="000003E3"/>
    <w:rsid w:val="00000AA5"/>
    <w:rsid w:val="00000BAA"/>
    <w:rsid w:val="000010EF"/>
    <w:rsid w:val="000013D8"/>
    <w:rsid w:val="00001974"/>
    <w:rsid w:val="00001FAF"/>
    <w:rsid w:val="00002BD4"/>
    <w:rsid w:val="00002FE6"/>
    <w:rsid w:val="000030D8"/>
    <w:rsid w:val="00003E72"/>
    <w:rsid w:val="00004131"/>
    <w:rsid w:val="000043CE"/>
    <w:rsid w:val="00004E97"/>
    <w:rsid w:val="0000502B"/>
    <w:rsid w:val="00005530"/>
    <w:rsid w:val="0000628C"/>
    <w:rsid w:val="00006BCE"/>
    <w:rsid w:val="000104B2"/>
    <w:rsid w:val="00010606"/>
    <w:rsid w:val="000106A1"/>
    <w:rsid w:val="00011FA4"/>
    <w:rsid w:val="000128A9"/>
    <w:rsid w:val="00012B83"/>
    <w:rsid w:val="00012D55"/>
    <w:rsid w:val="000133A8"/>
    <w:rsid w:val="00013B3E"/>
    <w:rsid w:val="0001429D"/>
    <w:rsid w:val="0001472E"/>
    <w:rsid w:val="0001515B"/>
    <w:rsid w:val="00015608"/>
    <w:rsid w:val="00015909"/>
    <w:rsid w:val="00015D79"/>
    <w:rsid w:val="00016C9C"/>
    <w:rsid w:val="00016E13"/>
    <w:rsid w:val="00016FFE"/>
    <w:rsid w:val="0001720E"/>
    <w:rsid w:val="00017428"/>
    <w:rsid w:val="0001798E"/>
    <w:rsid w:val="000211DD"/>
    <w:rsid w:val="00021599"/>
    <w:rsid w:val="00022415"/>
    <w:rsid w:val="00022798"/>
    <w:rsid w:val="0002466C"/>
    <w:rsid w:val="0002479E"/>
    <w:rsid w:val="00025631"/>
    <w:rsid w:val="000271BF"/>
    <w:rsid w:val="00027AD2"/>
    <w:rsid w:val="00027DFA"/>
    <w:rsid w:val="00030155"/>
    <w:rsid w:val="00030236"/>
    <w:rsid w:val="00030470"/>
    <w:rsid w:val="000306FE"/>
    <w:rsid w:val="00030B1A"/>
    <w:rsid w:val="00031A67"/>
    <w:rsid w:val="00031A92"/>
    <w:rsid w:val="0003201B"/>
    <w:rsid w:val="00032201"/>
    <w:rsid w:val="0003266C"/>
    <w:rsid w:val="00032EE6"/>
    <w:rsid w:val="00033368"/>
    <w:rsid w:val="0003524E"/>
    <w:rsid w:val="000359C6"/>
    <w:rsid w:val="00035DFB"/>
    <w:rsid w:val="000366DB"/>
    <w:rsid w:val="00036B69"/>
    <w:rsid w:val="00037994"/>
    <w:rsid w:val="000401C2"/>
    <w:rsid w:val="000403CB"/>
    <w:rsid w:val="000403F8"/>
    <w:rsid w:val="00040875"/>
    <w:rsid w:val="00040B5A"/>
    <w:rsid w:val="00041CBF"/>
    <w:rsid w:val="00041D6F"/>
    <w:rsid w:val="00043172"/>
    <w:rsid w:val="000438EF"/>
    <w:rsid w:val="00043DA6"/>
    <w:rsid w:val="0004433D"/>
    <w:rsid w:val="00044D74"/>
    <w:rsid w:val="00045625"/>
    <w:rsid w:val="000456B9"/>
    <w:rsid w:val="00045F09"/>
    <w:rsid w:val="00046132"/>
    <w:rsid w:val="0004623A"/>
    <w:rsid w:val="0004657E"/>
    <w:rsid w:val="0004717B"/>
    <w:rsid w:val="0004781C"/>
    <w:rsid w:val="00047F6F"/>
    <w:rsid w:val="00050510"/>
    <w:rsid w:val="00050533"/>
    <w:rsid w:val="000506FB"/>
    <w:rsid w:val="0005094B"/>
    <w:rsid w:val="00050C70"/>
    <w:rsid w:val="00052387"/>
    <w:rsid w:val="00052A22"/>
    <w:rsid w:val="0005349B"/>
    <w:rsid w:val="000538B1"/>
    <w:rsid w:val="00053BDA"/>
    <w:rsid w:val="00054145"/>
    <w:rsid w:val="000550BB"/>
    <w:rsid w:val="0005518F"/>
    <w:rsid w:val="000558F6"/>
    <w:rsid w:val="0005626E"/>
    <w:rsid w:val="000563E4"/>
    <w:rsid w:val="00056999"/>
    <w:rsid w:val="00056C9F"/>
    <w:rsid w:val="00056D5D"/>
    <w:rsid w:val="00057B9C"/>
    <w:rsid w:val="00060D66"/>
    <w:rsid w:val="00060EDD"/>
    <w:rsid w:val="000616D9"/>
    <w:rsid w:val="00061DB5"/>
    <w:rsid w:val="00062991"/>
    <w:rsid w:val="00062A9B"/>
    <w:rsid w:val="00062C78"/>
    <w:rsid w:val="0006330B"/>
    <w:rsid w:val="0006330E"/>
    <w:rsid w:val="000634DC"/>
    <w:rsid w:val="0006489B"/>
    <w:rsid w:val="000655A6"/>
    <w:rsid w:val="0006574C"/>
    <w:rsid w:val="00065D2C"/>
    <w:rsid w:val="00065DD7"/>
    <w:rsid w:val="0006631E"/>
    <w:rsid w:val="0006642D"/>
    <w:rsid w:val="0006665E"/>
    <w:rsid w:val="000668C1"/>
    <w:rsid w:val="0006705E"/>
    <w:rsid w:val="0006712E"/>
    <w:rsid w:val="00070227"/>
    <w:rsid w:val="00070955"/>
    <w:rsid w:val="00070F1A"/>
    <w:rsid w:val="00072082"/>
    <w:rsid w:val="00072202"/>
    <w:rsid w:val="00072D78"/>
    <w:rsid w:val="00073702"/>
    <w:rsid w:val="00073DF8"/>
    <w:rsid w:val="00074252"/>
    <w:rsid w:val="00075033"/>
    <w:rsid w:val="000750B3"/>
    <w:rsid w:val="0007549B"/>
    <w:rsid w:val="00075511"/>
    <w:rsid w:val="000758A8"/>
    <w:rsid w:val="000759EE"/>
    <w:rsid w:val="00076255"/>
    <w:rsid w:val="00076AFE"/>
    <w:rsid w:val="00076EEC"/>
    <w:rsid w:val="00077538"/>
    <w:rsid w:val="000778AF"/>
    <w:rsid w:val="00077E59"/>
    <w:rsid w:val="0008012F"/>
    <w:rsid w:val="00080F28"/>
    <w:rsid w:val="00080FD3"/>
    <w:rsid w:val="000811EF"/>
    <w:rsid w:val="00081294"/>
    <w:rsid w:val="0008243E"/>
    <w:rsid w:val="00082C89"/>
    <w:rsid w:val="00082DE0"/>
    <w:rsid w:val="000836E4"/>
    <w:rsid w:val="000838CD"/>
    <w:rsid w:val="000838EC"/>
    <w:rsid w:val="00083A21"/>
    <w:rsid w:val="00083EBB"/>
    <w:rsid w:val="000841CE"/>
    <w:rsid w:val="00084551"/>
    <w:rsid w:val="00084816"/>
    <w:rsid w:val="000848F8"/>
    <w:rsid w:val="00085BC1"/>
    <w:rsid w:val="00086032"/>
    <w:rsid w:val="0008615D"/>
    <w:rsid w:val="0008654E"/>
    <w:rsid w:val="00086CA3"/>
    <w:rsid w:val="000870C7"/>
    <w:rsid w:val="000874CA"/>
    <w:rsid w:val="00087545"/>
    <w:rsid w:val="000879D5"/>
    <w:rsid w:val="0009084D"/>
    <w:rsid w:val="00091E30"/>
    <w:rsid w:val="00091F7E"/>
    <w:rsid w:val="000936DF"/>
    <w:rsid w:val="0009430F"/>
    <w:rsid w:val="000947FD"/>
    <w:rsid w:val="00095C4C"/>
    <w:rsid w:val="000966B2"/>
    <w:rsid w:val="00096F7D"/>
    <w:rsid w:val="0009728B"/>
    <w:rsid w:val="000A1AFE"/>
    <w:rsid w:val="000A1E79"/>
    <w:rsid w:val="000A1F75"/>
    <w:rsid w:val="000A218B"/>
    <w:rsid w:val="000A2294"/>
    <w:rsid w:val="000A2892"/>
    <w:rsid w:val="000A2AC5"/>
    <w:rsid w:val="000A2F06"/>
    <w:rsid w:val="000A3778"/>
    <w:rsid w:val="000A3FB6"/>
    <w:rsid w:val="000A401C"/>
    <w:rsid w:val="000A40D5"/>
    <w:rsid w:val="000A4113"/>
    <w:rsid w:val="000A4221"/>
    <w:rsid w:val="000A52BA"/>
    <w:rsid w:val="000A5B4A"/>
    <w:rsid w:val="000A605D"/>
    <w:rsid w:val="000A647D"/>
    <w:rsid w:val="000A6725"/>
    <w:rsid w:val="000A7B86"/>
    <w:rsid w:val="000B1293"/>
    <w:rsid w:val="000B25C7"/>
    <w:rsid w:val="000B2AB6"/>
    <w:rsid w:val="000B2B78"/>
    <w:rsid w:val="000B4C44"/>
    <w:rsid w:val="000B4F99"/>
    <w:rsid w:val="000B561F"/>
    <w:rsid w:val="000B5808"/>
    <w:rsid w:val="000B5822"/>
    <w:rsid w:val="000B6963"/>
    <w:rsid w:val="000B72D6"/>
    <w:rsid w:val="000B76F0"/>
    <w:rsid w:val="000B7C11"/>
    <w:rsid w:val="000B7E4E"/>
    <w:rsid w:val="000C0C9D"/>
    <w:rsid w:val="000C13CC"/>
    <w:rsid w:val="000C14EF"/>
    <w:rsid w:val="000C1853"/>
    <w:rsid w:val="000C19F5"/>
    <w:rsid w:val="000C1A6D"/>
    <w:rsid w:val="000C1B88"/>
    <w:rsid w:val="000C20D7"/>
    <w:rsid w:val="000C338C"/>
    <w:rsid w:val="000C3717"/>
    <w:rsid w:val="000C3C31"/>
    <w:rsid w:val="000C3E7E"/>
    <w:rsid w:val="000C4CEE"/>
    <w:rsid w:val="000C5312"/>
    <w:rsid w:val="000C5AD5"/>
    <w:rsid w:val="000C60A9"/>
    <w:rsid w:val="000C6367"/>
    <w:rsid w:val="000C63E2"/>
    <w:rsid w:val="000C68DD"/>
    <w:rsid w:val="000C6924"/>
    <w:rsid w:val="000C6DED"/>
    <w:rsid w:val="000C725F"/>
    <w:rsid w:val="000C78F4"/>
    <w:rsid w:val="000C7C97"/>
    <w:rsid w:val="000C7F00"/>
    <w:rsid w:val="000D00DA"/>
    <w:rsid w:val="000D00F1"/>
    <w:rsid w:val="000D0C9E"/>
    <w:rsid w:val="000D20A6"/>
    <w:rsid w:val="000D20EE"/>
    <w:rsid w:val="000D27C4"/>
    <w:rsid w:val="000D2B94"/>
    <w:rsid w:val="000D2D29"/>
    <w:rsid w:val="000D4008"/>
    <w:rsid w:val="000D4064"/>
    <w:rsid w:val="000D457A"/>
    <w:rsid w:val="000D49E1"/>
    <w:rsid w:val="000D50BA"/>
    <w:rsid w:val="000D554B"/>
    <w:rsid w:val="000D59C5"/>
    <w:rsid w:val="000D5BB2"/>
    <w:rsid w:val="000D6073"/>
    <w:rsid w:val="000D7F4E"/>
    <w:rsid w:val="000E0AB1"/>
    <w:rsid w:val="000E1E2C"/>
    <w:rsid w:val="000E2157"/>
    <w:rsid w:val="000E2402"/>
    <w:rsid w:val="000E2670"/>
    <w:rsid w:val="000E2A73"/>
    <w:rsid w:val="000E2F44"/>
    <w:rsid w:val="000E31BF"/>
    <w:rsid w:val="000E40D0"/>
    <w:rsid w:val="000E40F5"/>
    <w:rsid w:val="000E42DD"/>
    <w:rsid w:val="000E4E9B"/>
    <w:rsid w:val="000E5034"/>
    <w:rsid w:val="000E57C9"/>
    <w:rsid w:val="000E5B12"/>
    <w:rsid w:val="000E63D2"/>
    <w:rsid w:val="000E6764"/>
    <w:rsid w:val="000E6E4C"/>
    <w:rsid w:val="000E6F90"/>
    <w:rsid w:val="000E70A0"/>
    <w:rsid w:val="000E71D6"/>
    <w:rsid w:val="000E791B"/>
    <w:rsid w:val="000E7C42"/>
    <w:rsid w:val="000E7F47"/>
    <w:rsid w:val="000F0447"/>
    <w:rsid w:val="000F05D2"/>
    <w:rsid w:val="000F0A11"/>
    <w:rsid w:val="000F0A2A"/>
    <w:rsid w:val="000F0E4B"/>
    <w:rsid w:val="000F1200"/>
    <w:rsid w:val="000F1658"/>
    <w:rsid w:val="000F1B0E"/>
    <w:rsid w:val="000F34CF"/>
    <w:rsid w:val="000F38EF"/>
    <w:rsid w:val="000F3A6C"/>
    <w:rsid w:val="000F3CFC"/>
    <w:rsid w:val="000F3FF3"/>
    <w:rsid w:val="000F4148"/>
    <w:rsid w:val="000F41AF"/>
    <w:rsid w:val="000F4661"/>
    <w:rsid w:val="000F4AC3"/>
    <w:rsid w:val="000F4AF2"/>
    <w:rsid w:val="000F4C85"/>
    <w:rsid w:val="000F5471"/>
    <w:rsid w:val="000F5888"/>
    <w:rsid w:val="000F5BDB"/>
    <w:rsid w:val="000F5C05"/>
    <w:rsid w:val="000F5C51"/>
    <w:rsid w:val="000F5CEC"/>
    <w:rsid w:val="000F6F14"/>
    <w:rsid w:val="000F728D"/>
    <w:rsid w:val="000F756D"/>
    <w:rsid w:val="000F77A8"/>
    <w:rsid w:val="00100632"/>
    <w:rsid w:val="00100743"/>
    <w:rsid w:val="00100F4D"/>
    <w:rsid w:val="0010122F"/>
    <w:rsid w:val="00101DB8"/>
    <w:rsid w:val="00101F36"/>
    <w:rsid w:val="001021C2"/>
    <w:rsid w:val="001026F8"/>
    <w:rsid w:val="0010286E"/>
    <w:rsid w:val="00103103"/>
    <w:rsid w:val="00103CC6"/>
    <w:rsid w:val="00104206"/>
    <w:rsid w:val="001056F9"/>
    <w:rsid w:val="0010611B"/>
    <w:rsid w:val="00106339"/>
    <w:rsid w:val="00106488"/>
    <w:rsid w:val="0010659A"/>
    <w:rsid w:val="0010699D"/>
    <w:rsid w:val="00106AF7"/>
    <w:rsid w:val="00106DB6"/>
    <w:rsid w:val="00106DCB"/>
    <w:rsid w:val="00107BC2"/>
    <w:rsid w:val="00110110"/>
    <w:rsid w:val="001105C2"/>
    <w:rsid w:val="00110AE0"/>
    <w:rsid w:val="0011148F"/>
    <w:rsid w:val="001125B5"/>
    <w:rsid w:val="00112796"/>
    <w:rsid w:val="00112CB4"/>
    <w:rsid w:val="00113C58"/>
    <w:rsid w:val="0011431F"/>
    <w:rsid w:val="00114614"/>
    <w:rsid w:val="00115D1D"/>
    <w:rsid w:val="00116DAF"/>
    <w:rsid w:val="00116DF5"/>
    <w:rsid w:val="00120706"/>
    <w:rsid w:val="001213FC"/>
    <w:rsid w:val="00121459"/>
    <w:rsid w:val="001217C0"/>
    <w:rsid w:val="001217D1"/>
    <w:rsid w:val="001222D0"/>
    <w:rsid w:val="001224EC"/>
    <w:rsid w:val="00122BB5"/>
    <w:rsid w:val="001230F2"/>
    <w:rsid w:val="001250C6"/>
    <w:rsid w:val="001266D4"/>
    <w:rsid w:val="0012679C"/>
    <w:rsid w:val="00126822"/>
    <w:rsid w:val="00126ACF"/>
    <w:rsid w:val="00126B43"/>
    <w:rsid w:val="00126D21"/>
    <w:rsid w:val="00126D3F"/>
    <w:rsid w:val="00127228"/>
    <w:rsid w:val="0012725C"/>
    <w:rsid w:val="00130BC3"/>
    <w:rsid w:val="00130F9E"/>
    <w:rsid w:val="001313A8"/>
    <w:rsid w:val="001315FE"/>
    <w:rsid w:val="0013161D"/>
    <w:rsid w:val="00132F1C"/>
    <w:rsid w:val="00132F22"/>
    <w:rsid w:val="00132FE1"/>
    <w:rsid w:val="00133BE9"/>
    <w:rsid w:val="00134BA2"/>
    <w:rsid w:val="00134FDC"/>
    <w:rsid w:val="0013521D"/>
    <w:rsid w:val="00135845"/>
    <w:rsid w:val="00135933"/>
    <w:rsid w:val="001362C3"/>
    <w:rsid w:val="00137AE2"/>
    <w:rsid w:val="00140673"/>
    <w:rsid w:val="00140E33"/>
    <w:rsid w:val="0014195B"/>
    <w:rsid w:val="00141B34"/>
    <w:rsid w:val="00142C54"/>
    <w:rsid w:val="00143861"/>
    <w:rsid w:val="00143CA2"/>
    <w:rsid w:val="00143D2C"/>
    <w:rsid w:val="00144013"/>
    <w:rsid w:val="0014417F"/>
    <w:rsid w:val="00144469"/>
    <w:rsid w:val="00144886"/>
    <w:rsid w:val="00144FBC"/>
    <w:rsid w:val="001451BC"/>
    <w:rsid w:val="001451C6"/>
    <w:rsid w:val="0014525D"/>
    <w:rsid w:val="001458A9"/>
    <w:rsid w:val="0014629D"/>
    <w:rsid w:val="00146663"/>
    <w:rsid w:val="00147576"/>
    <w:rsid w:val="00147BB8"/>
    <w:rsid w:val="00147E85"/>
    <w:rsid w:val="001505E9"/>
    <w:rsid w:val="00150FC9"/>
    <w:rsid w:val="00151644"/>
    <w:rsid w:val="0015182F"/>
    <w:rsid w:val="00151889"/>
    <w:rsid w:val="00152068"/>
    <w:rsid w:val="001522E9"/>
    <w:rsid w:val="00152920"/>
    <w:rsid w:val="0015315E"/>
    <w:rsid w:val="001531E5"/>
    <w:rsid w:val="0015415D"/>
    <w:rsid w:val="00154734"/>
    <w:rsid w:val="00154F93"/>
    <w:rsid w:val="00156A37"/>
    <w:rsid w:val="0015700F"/>
    <w:rsid w:val="0015730C"/>
    <w:rsid w:val="0015776E"/>
    <w:rsid w:val="00157880"/>
    <w:rsid w:val="00157A52"/>
    <w:rsid w:val="00157EB6"/>
    <w:rsid w:val="001609FA"/>
    <w:rsid w:val="00161B20"/>
    <w:rsid w:val="001621DA"/>
    <w:rsid w:val="00162304"/>
    <w:rsid w:val="0016439A"/>
    <w:rsid w:val="0016458A"/>
    <w:rsid w:val="00164CCD"/>
    <w:rsid w:val="00164E8B"/>
    <w:rsid w:val="0016541F"/>
    <w:rsid w:val="00166E22"/>
    <w:rsid w:val="00167E5C"/>
    <w:rsid w:val="0017016D"/>
    <w:rsid w:val="00170439"/>
    <w:rsid w:val="00170869"/>
    <w:rsid w:val="00171AF1"/>
    <w:rsid w:val="00172AA4"/>
    <w:rsid w:val="00172BCC"/>
    <w:rsid w:val="0017369A"/>
    <w:rsid w:val="00174961"/>
    <w:rsid w:val="00174F1B"/>
    <w:rsid w:val="00175F2C"/>
    <w:rsid w:val="00176119"/>
    <w:rsid w:val="001761A4"/>
    <w:rsid w:val="001762E1"/>
    <w:rsid w:val="00176B01"/>
    <w:rsid w:val="00177936"/>
    <w:rsid w:val="00177BAE"/>
    <w:rsid w:val="00180689"/>
    <w:rsid w:val="001809B7"/>
    <w:rsid w:val="001809D4"/>
    <w:rsid w:val="0018132A"/>
    <w:rsid w:val="00181419"/>
    <w:rsid w:val="0018293E"/>
    <w:rsid w:val="00183EAA"/>
    <w:rsid w:val="001845B1"/>
    <w:rsid w:val="0018579D"/>
    <w:rsid w:val="0018664C"/>
    <w:rsid w:val="00187216"/>
    <w:rsid w:val="001874BD"/>
    <w:rsid w:val="00187AA7"/>
    <w:rsid w:val="00187AEE"/>
    <w:rsid w:val="00187B83"/>
    <w:rsid w:val="0019020E"/>
    <w:rsid w:val="00190C24"/>
    <w:rsid w:val="00191339"/>
    <w:rsid w:val="001914EF"/>
    <w:rsid w:val="00192242"/>
    <w:rsid w:val="0019246C"/>
    <w:rsid w:val="00192B4C"/>
    <w:rsid w:val="00192BF3"/>
    <w:rsid w:val="001935D9"/>
    <w:rsid w:val="00193CF1"/>
    <w:rsid w:val="00193D75"/>
    <w:rsid w:val="00193EEB"/>
    <w:rsid w:val="001954D9"/>
    <w:rsid w:val="00196FF6"/>
    <w:rsid w:val="0019741B"/>
    <w:rsid w:val="00197FA0"/>
    <w:rsid w:val="001A028D"/>
    <w:rsid w:val="001A167D"/>
    <w:rsid w:val="001A1B0A"/>
    <w:rsid w:val="001A226D"/>
    <w:rsid w:val="001A2553"/>
    <w:rsid w:val="001A282C"/>
    <w:rsid w:val="001A2AAD"/>
    <w:rsid w:val="001A2BF4"/>
    <w:rsid w:val="001A3044"/>
    <w:rsid w:val="001A44FA"/>
    <w:rsid w:val="001A4E01"/>
    <w:rsid w:val="001A544D"/>
    <w:rsid w:val="001A54BD"/>
    <w:rsid w:val="001A5A20"/>
    <w:rsid w:val="001A656D"/>
    <w:rsid w:val="001A66BF"/>
    <w:rsid w:val="001A71F1"/>
    <w:rsid w:val="001A769C"/>
    <w:rsid w:val="001A796D"/>
    <w:rsid w:val="001B04F4"/>
    <w:rsid w:val="001B1DC4"/>
    <w:rsid w:val="001B30B5"/>
    <w:rsid w:val="001B3452"/>
    <w:rsid w:val="001B3510"/>
    <w:rsid w:val="001B3715"/>
    <w:rsid w:val="001B3D04"/>
    <w:rsid w:val="001B466A"/>
    <w:rsid w:val="001B512A"/>
    <w:rsid w:val="001B57D1"/>
    <w:rsid w:val="001B5D44"/>
    <w:rsid w:val="001B5EC8"/>
    <w:rsid w:val="001B6976"/>
    <w:rsid w:val="001B6CDA"/>
    <w:rsid w:val="001B7455"/>
    <w:rsid w:val="001B788B"/>
    <w:rsid w:val="001B79E9"/>
    <w:rsid w:val="001B7A84"/>
    <w:rsid w:val="001B7C91"/>
    <w:rsid w:val="001C0176"/>
    <w:rsid w:val="001C06F9"/>
    <w:rsid w:val="001C0A1B"/>
    <w:rsid w:val="001C17D0"/>
    <w:rsid w:val="001C1CF6"/>
    <w:rsid w:val="001C251F"/>
    <w:rsid w:val="001C268E"/>
    <w:rsid w:val="001C2CD6"/>
    <w:rsid w:val="001C32A6"/>
    <w:rsid w:val="001C3505"/>
    <w:rsid w:val="001C3AAC"/>
    <w:rsid w:val="001C3EB8"/>
    <w:rsid w:val="001C4155"/>
    <w:rsid w:val="001C417C"/>
    <w:rsid w:val="001C6101"/>
    <w:rsid w:val="001C64E4"/>
    <w:rsid w:val="001C7874"/>
    <w:rsid w:val="001C7F0B"/>
    <w:rsid w:val="001D08C3"/>
    <w:rsid w:val="001D0C11"/>
    <w:rsid w:val="001D0C68"/>
    <w:rsid w:val="001D135F"/>
    <w:rsid w:val="001D1453"/>
    <w:rsid w:val="001D2419"/>
    <w:rsid w:val="001D34F9"/>
    <w:rsid w:val="001D36D4"/>
    <w:rsid w:val="001D3787"/>
    <w:rsid w:val="001D4046"/>
    <w:rsid w:val="001D44AC"/>
    <w:rsid w:val="001D5054"/>
    <w:rsid w:val="001D53AB"/>
    <w:rsid w:val="001D5453"/>
    <w:rsid w:val="001D581A"/>
    <w:rsid w:val="001D5CD6"/>
    <w:rsid w:val="001D6B52"/>
    <w:rsid w:val="001D6B84"/>
    <w:rsid w:val="001D70B0"/>
    <w:rsid w:val="001D7A61"/>
    <w:rsid w:val="001E16F2"/>
    <w:rsid w:val="001E16FF"/>
    <w:rsid w:val="001E1A5F"/>
    <w:rsid w:val="001E1D8F"/>
    <w:rsid w:val="001E1E04"/>
    <w:rsid w:val="001E2014"/>
    <w:rsid w:val="001E2F64"/>
    <w:rsid w:val="001E324A"/>
    <w:rsid w:val="001E34B8"/>
    <w:rsid w:val="001E3FCB"/>
    <w:rsid w:val="001E464A"/>
    <w:rsid w:val="001E4794"/>
    <w:rsid w:val="001E4A22"/>
    <w:rsid w:val="001E523B"/>
    <w:rsid w:val="001E55A5"/>
    <w:rsid w:val="001E5787"/>
    <w:rsid w:val="001E61F1"/>
    <w:rsid w:val="001E6631"/>
    <w:rsid w:val="001E755A"/>
    <w:rsid w:val="001E7584"/>
    <w:rsid w:val="001E7FA2"/>
    <w:rsid w:val="001F00C0"/>
    <w:rsid w:val="001F0F07"/>
    <w:rsid w:val="001F10E7"/>
    <w:rsid w:val="001F2DF7"/>
    <w:rsid w:val="001F36D7"/>
    <w:rsid w:val="001F3A31"/>
    <w:rsid w:val="001F4054"/>
    <w:rsid w:val="001F4D5E"/>
    <w:rsid w:val="001F4FC5"/>
    <w:rsid w:val="001F63C1"/>
    <w:rsid w:val="001F6761"/>
    <w:rsid w:val="001F710C"/>
    <w:rsid w:val="001F7485"/>
    <w:rsid w:val="001F785D"/>
    <w:rsid w:val="001F7D7D"/>
    <w:rsid w:val="00200A33"/>
    <w:rsid w:val="00201021"/>
    <w:rsid w:val="0020114D"/>
    <w:rsid w:val="002011C2"/>
    <w:rsid w:val="002018A7"/>
    <w:rsid w:val="00201B67"/>
    <w:rsid w:val="00203379"/>
    <w:rsid w:val="00203981"/>
    <w:rsid w:val="00203D58"/>
    <w:rsid w:val="00203FF1"/>
    <w:rsid w:val="0020471D"/>
    <w:rsid w:val="0020499F"/>
    <w:rsid w:val="00205079"/>
    <w:rsid w:val="00205259"/>
    <w:rsid w:val="002066EB"/>
    <w:rsid w:val="00206C2A"/>
    <w:rsid w:val="00206F64"/>
    <w:rsid w:val="0020764E"/>
    <w:rsid w:val="00207920"/>
    <w:rsid w:val="0021004F"/>
    <w:rsid w:val="00210489"/>
    <w:rsid w:val="00211DBF"/>
    <w:rsid w:val="00211F4D"/>
    <w:rsid w:val="0021250B"/>
    <w:rsid w:val="00212F0B"/>
    <w:rsid w:val="00213831"/>
    <w:rsid w:val="002142E5"/>
    <w:rsid w:val="00214829"/>
    <w:rsid w:val="00214FB5"/>
    <w:rsid w:val="00215FF1"/>
    <w:rsid w:val="002160DB"/>
    <w:rsid w:val="00216654"/>
    <w:rsid w:val="00216FBB"/>
    <w:rsid w:val="0021773A"/>
    <w:rsid w:val="00217BAA"/>
    <w:rsid w:val="00220D98"/>
    <w:rsid w:val="00220F12"/>
    <w:rsid w:val="00220FB1"/>
    <w:rsid w:val="00221218"/>
    <w:rsid w:val="00221654"/>
    <w:rsid w:val="0022182B"/>
    <w:rsid w:val="00221918"/>
    <w:rsid w:val="00221ABB"/>
    <w:rsid w:val="00221EBF"/>
    <w:rsid w:val="002223A9"/>
    <w:rsid w:val="002225BE"/>
    <w:rsid w:val="00222C89"/>
    <w:rsid w:val="00223621"/>
    <w:rsid w:val="002239CD"/>
    <w:rsid w:val="00223D61"/>
    <w:rsid w:val="00224E76"/>
    <w:rsid w:val="00225030"/>
    <w:rsid w:val="00225D03"/>
    <w:rsid w:val="002262F3"/>
    <w:rsid w:val="00227473"/>
    <w:rsid w:val="002278F0"/>
    <w:rsid w:val="002301D4"/>
    <w:rsid w:val="00230590"/>
    <w:rsid w:val="002305E3"/>
    <w:rsid w:val="00230602"/>
    <w:rsid w:val="00230EA8"/>
    <w:rsid w:val="00231439"/>
    <w:rsid w:val="002314B0"/>
    <w:rsid w:val="002317F4"/>
    <w:rsid w:val="00232539"/>
    <w:rsid w:val="0023261B"/>
    <w:rsid w:val="00233DA7"/>
    <w:rsid w:val="0023416D"/>
    <w:rsid w:val="002344EB"/>
    <w:rsid w:val="00234FC3"/>
    <w:rsid w:val="002353D6"/>
    <w:rsid w:val="0023545F"/>
    <w:rsid w:val="002359AC"/>
    <w:rsid w:val="00235C20"/>
    <w:rsid w:val="00235D32"/>
    <w:rsid w:val="00236135"/>
    <w:rsid w:val="0023613D"/>
    <w:rsid w:val="00236507"/>
    <w:rsid w:val="00236787"/>
    <w:rsid w:val="0023686A"/>
    <w:rsid w:val="00236CCC"/>
    <w:rsid w:val="002403DB"/>
    <w:rsid w:val="00240876"/>
    <w:rsid w:val="00240A73"/>
    <w:rsid w:val="00240E3A"/>
    <w:rsid w:val="00242007"/>
    <w:rsid w:val="00242208"/>
    <w:rsid w:val="002428D6"/>
    <w:rsid w:val="00242AB2"/>
    <w:rsid w:val="002434DB"/>
    <w:rsid w:val="00243AD1"/>
    <w:rsid w:val="002444FA"/>
    <w:rsid w:val="002446BC"/>
    <w:rsid w:val="0024474C"/>
    <w:rsid w:val="002449F1"/>
    <w:rsid w:val="0024505B"/>
    <w:rsid w:val="0024560A"/>
    <w:rsid w:val="00246C4B"/>
    <w:rsid w:val="00246F9A"/>
    <w:rsid w:val="00247BA5"/>
    <w:rsid w:val="00250B8A"/>
    <w:rsid w:val="00250BE7"/>
    <w:rsid w:val="00251927"/>
    <w:rsid w:val="002520AC"/>
    <w:rsid w:val="00252AF2"/>
    <w:rsid w:val="00252E8B"/>
    <w:rsid w:val="002536D1"/>
    <w:rsid w:val="00253BC3"/>
    <w:rsid w:val="00253C55"/>
    <w:rsid w:val="00253C70"/>
    <w:rsid w:val="00253D0C"/>
    <w:rsid w:val="00254E78"/>
    <w:rsid w:val="00255E76"/>
    <w:rsid w:val="00255EBA"/>
    <w:rsid w:val="00255F03"/>
    <w:rsid w:val="0025625D"/>
    <w:rsid w:val="00256B80"/>
    <w:rsid w:val="002571FB"/>
    <w:rsid w:val="0025720C"/>
    <w:rsid w:val="00257FDC"/>
    <w:rsid w:val="0026017D"/>
    <w:rsid w:val="002604E1"/>
    <w:rsid w:val="0026058E"/>
    <w:rsid w:val="0026126C"/>
    <w:rsid w:val="0026129C"/>
    <w:rsid w:val="0026133F"/>
    <w:rsid w:val="00261543"/>
    <w:rsid w:val="00261834"/>
    <w:rsid w:val="00261C27"/>
    <w:rsid w:val="002635C7"/>
    <w:rsid w:val="002636BF"/>
    <w:rsid w:val="002643A2"/>
    <w:rsid w:val="00264733"/>
    <w:rsid w:val="00264A64"/>
    <w:rsid w:val="00264B40"/>
    <w:rsid w:val="00264DCE"/>
    <w:rsid w:val="00265250"/>
    <w:rsid w:val="00265CF6"/>
    <w:rsid w:val="00265EE4"/>
    <w:rsid w:val="00266619"/>
    <w:rsid w:val="00267B72"/>
    <w:rsid w:val="002722CC"/>
    <w:rsid w:val="002738FE"/>
    <w:rsid w:val="00273BAC"/>
    <w:rsid w:val="00273C64"/>
    <w:rsid w:val="00274EBB"/>
    <w:rsid w:val="00274F81"/>
    <w:rsid w:val="00275376"/>
    <w:rsid w:val="00275DAE"/>
    <w:rsid w:val="00275DE1"/>
    <w:rsid w:val="00276381"/>
    <w:rsid w:val="0027650C"/>
    <w:rsid w:val="002766B5"/>
    <w:rsid w:val="002766C3"/>
    <w:rsid w:val="00276D58"/>
    <w:rsid w:val="002770AF"/>
    <w:rsid w:val="002772E4"/>
    <w:rsid w:val="0027779F"/>
    <w:rsid w:val="002779A4"/>
    <w:rsid w:val="00277F47"/>
    <w:rsid w:val="00277FBE"/>
    <w:rsid w:val="00280118"/>
    <w:rsid w:val="00281056"/>
    <w:rsid w:val="0028174D"/>
    <w:rsid w:val="00281B71"/>
    <w:rsid w:val="00281E3B"/>
    <w:rsid w:val="002822E8"/>
    <w:rsid w:val="002829BD"/>
    <w:rsid w:val="00283CD2"/>
    <w:rsid w:val="00284211"/>
    <w:rsid w:val="00284636"/>
    <w:rsid w:val="00284811"/>
    <w:rsid w:val="00284A67"/>
    <w:rsid w:val="002852FB"/>
    <w:rsid w:val="002854BD"/>
    <w:rsid w:val="00285AF8"/>
    <w:rsid w:val="00286BDC"/>
    <w:rsid w:val="00286CC8"/>
    <w:rsid w:val="00286CCD"/>
    <w:rsid w:val="00287653"/>
    <w:rsid w:val="00287773"/>
    <w:rsid w:val="00287C98"/>
    <w:rsid w:val="002901ED"/>
    <w:rsid w:val="002904A6"/>
    <w:rsid w:val="0029102C"/>
    <w:rsid w:val="002917D0"/>
    <w:rsid w:val="00291A2B"/>
    <w:rsid w:val="0029216B"/>
    <w:rsid w:val="0029280F"/>
    <w:rsid w:val="00292874"/>
    <w:rsid w:val="00292D58"/>
    <w:rsid w:val="002932FE"/>
    <w:rsid w:val="002939DF"/>
    <w:rsid w:val="00293EEB"/>
    <w:rsid w:val="0029483C"/>
    <w:rsid w:val="002953F4"/>
    <w:rsid w:val="00295805"/>
    <w:rsid w:val="00295DCB"/>
    <w:rsid w:val="0029601E"/>
    <w:rsid w:val="00296242"/>
    <w:rsid w:val="00297033"/>
    <w:rsid w:val="0029790D"/>
    <w:rsid w:val="002979FA"/>
    <w:rsid w:val="00297CA6"/>
    <w:rsid w:val="002A05E9"/>
    <w:rsid w:val="002A1268"/>
    <w:rsid w:val="002A2470"/>
    <w:rsid w:val="002A2D64"/>
    <w:rsid w:val="002A2EB0"/>
    <w:rsid w:val="002A32DB"/>
    <w:rsid w:val="002A36F3"/>
    <w:rsid w:val="002A3D54"/>
    <w:rsid w:val="002A40B7"/>
    <w:rsid w:val="002A4858"/>
    <w:rsid w:val="002A50AF"/>
    <w:rsid w:val="002A55CF"/>
    <w:rsid w:val="002A5DA1"/>
    <w:rsid w:val="002A638A"/>
    <w:rsid w:val="002A6629"/>
    <w:rsid w:val="002A66A3"/>
    <w:rsid w:val="002A681C"/>
    <w:rsid w:val="002A6F48"/>
    <w:rsid w:val="002A78DC"/>
    <w:rsid w:val="002A7986"/>
    <w:rsid w:val="002A79AD"/>
    <w:rsid w:val="002A7DDE"/>
    <w:rsid w:val="002B00C9"/>
    <w:rsid w:val="002B02D6"/>
    <w:rsid w:val="002B0CDC"/>
    <w:rsid w:val="002B1076"/>
    <w:rsid w:val="002B115E"/>
    <w:rsid w:val="002B1240"/>
    <w:rsid w:val="002B16E8"/>
    <w:rsid w:val="002B1783"/>
    <w:rsid w:val="002B242C"/>
    <w:rsid w:val="002B28E7"/>
    <w:rsid w:val="002B2A16"/>
    <w:rsid w:val="002B2A1E"/>
    <w:rsid w:val="002B2B7D"/>
    <w:rsid w:val="002B320E"/>
    <w:rsid w:val="002B39AB"/>
    <w:rsid w:val="002B3E2B"/>
    <w:rsid w:val="002B53DB"/>
    <w:rsid w:val="002B60B9"/>
    <w:rsid w:val="002B7575"/>
    <w:rsid w:val="002B7C8B"/>
    <w:rsid w:val="002C0064"/>
    <w:rsid w:val="002C04F6"/>
    <w:rsid w:val="002C0D58"/>
    <w:rsid w:val="002C1172"/>
    <w:rsid w:val="002C1DAC"/>
    <w:rsid w:val="002C2D37"/>
    <w:rsid w:val="002C2EEA"/>
    <w:rsid w:val="002C314E"/>
    <w:rsid w:val="002C388D"/>
    <w:rsid w:val="002C4015"/>
    <w:rsid w:val="002C4684"/>
    <w:rsid w:val="002C496B"/>
    <w:rsid w:val="002C4A07"/>
    <w:rsid w:val="002C5155"/>
    <w:rsid w:val="002C5171"/>
    <w:rsid w:val="002C53D6"/>
    <w:rsid w:val="002C5D64"/>
    <w:rsid w:val="002C6286"/>
    <w:rsid w:val="002C665F"/>
    <w:rsid w:val="002C6CBA"/>
    <w:rsid w:val="002C6E0F"/>
    <w:rsid w:val="002C72EA"/>
    <w:rsid w:val="002C748F"/>
    <w:rsid w:val="002C783B"/>
    <w:rsid w:val="002C7F24"/>
    <w:rsid w:val="002D00AA"/>
    <w:rsid w:val="002D0868"/>
    <w:rsid w:val="002D0D35"/>
    <w:rsid w:val="002D0F1C"/>
    <w:rsid w:val="002D1697"/>
    <w:rsid w:val="002D1DA4"/>
    <w:rsid w:val="002D2845"/>
    <w:rsid w:val="002D29EC"/>
    <w:rsid w:val="002D3321"/>
    <w:rsid w:val="002D34EA"/>
    <w:rsid w:val="002D3523"/>
    <w:rsid w:val="002D3576"/>
    <w:rsid w:val="002D3EB3"/>
    <w:rsid w:val="002D4AD5"/>
    <w:rsid w:val="002D4BDD"/>
    <w:rsid w:val="002D56BD"/>
    <w:rsid w:val="002D5FAD"/>
    <w:rsid w:val="002D61DF"/>
    <w:rsid w:val="002D62A0"/>
    <w:rsid w:val="002D6356"/>
    <w:rsid w:val="002D64E1"/>
    <w:rsid w:val="002D699B"/>
    <w:rsid w:val="002D76BF"/>
    <w:rsid w:val="002D7DA3"/>
    <w:rsid w:val="002D7F80"/>
    <w:rsid w:val="002E01B2"/>
    <w:rsid w:val="002E05CD"/>
    <w:rsid w:val="002E19B0"/>
    <w:rsid w:val="002E1C83"/>
    <w:rsid w:val="002E20F8"/>
    <w:rsid w:val="002E21D7"/>
    <w:rsid w:val="002E252B"/>
    <w:rsid w:val="002E290D"/>
    <w:rsid w:val="002E29E4"/>
    <w:rsid w:val="002E2BBA"/>
    <w:rsid w:val="002E3890"/>
    <w:rsid w:val="002E3AE0"/>
    <w:rsid w:val="002E3B9D"/>
    <w:rsid w:val="002E3D60"/>
    <w:rsid w:val="002E3DC0"/>
    <w:rsid w:val="002E408B"/>
    <w:rsid w:val="002E5183"/>
    <w:rsid w:val="002E5419"/>
    <w:rsid w:val="002E7588"/>
    <w:rsid w:val="002E7756"/>
    <w:rsid w:val="002E7BCB"/>
    <w:rsid w:val="002F0316"/>
    <w:rsid w:val="002F0C26"/>
    <w:rsid w:val="002F13E6"/>
    <w:rsid w:val="002F2945"/>
    <w:rsid w:val="002F2CFB"/>
    <w:rsid w:val="002F2FAB"/>
    <w:rsid w:val="002F31EB"/>
    <w:rsid w:val="002F3B8F"/>
    <w:rsid w:val="002F3D10"/>
    <w:rsid w:val="002F3DA5"/>
    <w:rsid w:val="002F3E2C"/>
    <w:rsid w:val="002F3F5B"/>
    <w:rsid w:val="002F4005"/>
    <w:rsid w:val="002F495F"/>
    <w:rsid w:val="002F4A55"/>
    <w:rsid w:val="002F6383"/>
    <w:rsid w:val="002F69A2"/>
    <w:rsid w:val="002F777A"/>
    <w:rsid w:val="002F7B17"/>
    <w:rsid w:val="002F7BA6"/>
    <w:rsid w:val="002F7C6C"/>
    <w:rsid w:val="0030031F"/>
    <w:rsid w:val="003003A9"/>
    <w:rsid w:val="0030040E"/>
    <w:rsid w:val="00300BFD"/>
    <w:rsid w:val="00300EA0"/>
    <w:rsid w:val="00301DDA"/>
    <w:rsid w:val="00301F05"/>
    <w:rsid w:val="00303092"/>
    <w:rsid w:val="003034DC"/>
    <w:rsid w:val="00303A5C"/>
    <w:rsid w:val="0030426A"/>
    <w:rsid w:val="0030493F"/>
    <w:rsid w:val="00304C80"/>
    <w:rsid w:val="00304C98"/>
    <w:rsid w:val="00305168"/>
    <w:rsid w:val="00305257"/>
    <w:rsid w:val="00305390"/>
    <w:rsid w:val="0030572F"/>
    <w:rsid w:val="00305854"/>
    <w:rsid w:val="003060DE"/>
    <w:rsid w:val="003066DD"/>
    <w:rsid w:val="00307966"/>
    <w:rsid w:val="00307EE0"/>
    <w:rsid w:val="00310410"/>
    <w:rsid w:val="00310FCB"/>
    <w:rsid w:val="00311E9B"/>
    <w:rsid w:val="00311FEF"/>
    <w:rsid w:val="003129EA"/>
    <w:rsid w:val="00313D32"/>
    <w:rsid w:val="00315571"/>
    <w:rsid w:val="00317072"/>
    <w:rsid w:val="00317B65"/>
    <w:rsid w:val="00317C08"/>
    <w:rsid w:val="00320114"/>
    <w:rsid w:val="003208EB"/>
    <w:rsid w:val="00320E08"/>
    <w:rsid w:val="00321461"/>
    <w:rsid w:val="00322DC4"/>
    <w:rsid w:val="0032330D"/>
    <w:rsid w:val="003236EF"/>
    <w:rsid w:val="003239A7"/>
    <w:rsid w:val="00323AE4"/>
    <w:rsid w:val="00325721"/>
    <w:rsid w:val="00325C8D"/>
    <w:rsid w:val="00326ABB"/>
    <w:rsid w:val="00326B2D"/>
    <w:rsid w:val="00326BB2"/>
    <w:rsid w:val="00327C56"/>
    <w:rsid w:val="00327D15"/>
    <w:rsid w:val="00330E82"/>
    <w:rsid w:val="00331046"/>
    <w:rsid w:val="00331C76"/>
    <w:rsid w:val="00331F11"/>
    <w:rsid w:val="00332910"/>
    <w:rsid w:val="00333E41"/>
    <w:rsid w:val="00335036"/>
    <w:rsid w:val="00335D1F"/>
    <w:rsid w:val="00336296"/>
    <w:rsid w:val="003369E2"/>
    <w:rsid w:val="00336A5A"/>
    <w:rsid w:val="00337877"/>
    <w:rsid w:val="00337A4A"/>
    <w:rsid w:val="003419C2"/>
    <w:rsid w:val="00341FC4"/>
    <w:rsid w:val="00342AB3"/>
    <w:rsid w:val="00342B3E"/>
    <w:rsid w:val="00343D63"/>
    <w:rsid w:val="003446FD"/>
    <w:rsid w:val="00344E06"/>
    <w:rsid w:val="00344E49"/>
    <w:rsid w:val="0034511C"/>
    <w:rsid w:val="0034532B"/>
    <w:rsid w:val="00345468"/>
    <w:rsid w:val="00345961"/>
    <w:rsid w:val="00345D61"/>
    <w:rsid w:val="00345E29"/>
    <w:rsid w:val="00345EF1"/>
    <w:rsid w:val="003460ED"/>
    <w:rsid w:val="00346189"/>
    <w:rsid w:val="00346A35"/>
    <w:rsid w:val="00346EFF"/>
    <w:rsid w:val="00347626"/>
    <w:rsid w:val="0034791E"/>
    <w:rsid w:val="00350A92"/>
    <w:rsid w:val="0035114C"/>
    <w:rsid w:val="00351738"/>
    <w:rsid w:val="0035222D"/>
    <w:rsid w:val="003527E7"/>
    <w:rsid w:val="00352838"/>
    <w:rsid w:val="00352964"/>
    <w:rsid w:val="00352C27"/>
    <w:rsid w:val="003538B7"/>
    <w:rsid w:val="00354287"/>
    <w:rsid w:val="00354BF7"/>
    <w:rsid w:val="00354C63"/>
    <w:rsid w:val="0035556B"/>
    <w:rsid w:val="00355AA7"/>
    <w:rsid w:val="0035638D"/>
    <w:rsid w:val="003568E5"/>
    <w:rsid w:val="00356963"/>
    <w:rsid w:val="0035713A"/>
    <w:rsid w:val="00357F4A"/>
    <w:rsid w:val="00357FCA"/>
    <w:rsid w:val="003605D5"/>
    <w:rsid w:val="00360DB7"/>
    <w:rsid w:val="00361032"/>
    <w:rsid w:val="00361759"/>
    <w:rsid w:val="003620E3"/>
    <w:rsid w:val="00362930"/>
    <w:rsid w:val="003633D1"/>
    <w:rsid w:val="003634D7"/>
    <w:rsid w:val="0036389B"/>
    <w:rsid w:val="00363A67"/>
    <w:rsid w:val="00364435"/>
    <w:rsid w:val="0036479F"/>
    <w:rsid w:val="00364E5A"/>
    <w:rsid w:val="003654E9"/>
    <w:rsid w:val="00365682"/>
    <w:rsid w:val="003657A0"/>
    <w:rsid w:val="00365A35"/>
    <w:rsid w:val="00365E91"/>
    <w:rsid w:val="00366768"/>
    <w:rsid w:val="00366861"/>
    <w:rsid w:val="00366DA8"/>
    <w:rsid w:val="00366F73"/>
    <w:rsid w:val="003671BD"/>
    <w:rsid w:val="00367574"/>
    <w:rsid w:val="003679F4"/>
    <w:rsid w:val="00367FF2"/>
    <w:rsid w:val="003700FA"/>
    <w:rsid w:val="00370122"/>
    <w:rsid w:val="003703A8"/>
    <w:rsid w:val="00371802"/>
    <w:rsid w:val="00371931"/>
    <w:rsid w:val="00371CD7"/>
    <w:rsid w:val="003724AD"/>
    <w:rsid w:val="003727E2"/>
    <w:rsid w:val="003743F2"/>
    <w:rsid w:val="00374F48"/>
    <w:rsid w:val="003757B9"/>
    <w:rsid w:val="003770C4"/>
    <w:rsid w:val="00377535"/>
    <w:rsid w:val="00377E3C"/>
    <w:rsid w:val="00380220"/>
    <w:rsid w:val="00380A1A"/>
    <w:rsid w:val="00381557"/>
    <w:rsid w:val="0038246C"/>
    <w:rsid w:val="00382CEB"/>
    <w:rsid w:val="003832D7"/>
    <w:rsid w:val="00383B9D"/>
    <w:rsid w:val="00384672"/>
    <w:rsid w:val="00384D17"/>
    <w:rsid w:val="00384E91"/>
    <w:rsid w:val="003855F3"/>
    <w:rsid w:val="00385E3D"/>
    <w:rsid w:val="003866A7"/>
    <w:rsid w:val="003867F8"/>
    <w:rsid w:val="00386B70"/>
    <w:rsid w:val="00386FDF"/>
    <w:rsid w:val="003872FF"/>
    <w:rsid w:val="00387817"/>
    <w:rsid w:val="003879E9"/>
    <w:rsid w:val="003900DB"/>
    <w:rsid w:val="0039096D"/>
    <w:rsid w:val="00390FB3"/>
    <w:rsid w:val="0039102C"/>
    <w:rsid w:val="00391766"/>
    <w:rsid w:val="003917A3"/>
    <w:rsid w:val="00391A3C"/>
    <w:rsid w:val="00392340"/>
    <w:rsid w:val="0039320F"/>
    <w:rsid w:val="0039534F"/>
    <w:rsid w:val="003956C1"/>
    <w:rsid w:val="003963B9"/>
    <w:rsid w:val="00397300"/>
    <w:rsid w:val="003973B7"/>
    <w:rsid w:val="003973F6"/>
    <w:rsid w:val="003976A0"/>
    <w:rsid w:val="00397ABC"/>
    <w:rsid w:val="00397DE7"/>
    <w:rsid w:val="00397EA4"/>
    <w:rsid w:val="003A0328"/>
    <w:rsid w:val="003A1006"/>
    <w:rsid w:val="003A1CDD"/>
    <w:rsid w:val="003A2BFA"/>
    <w:rsid w:val="003A2CCE"/>
    <w:rsid w:val="003A30EB"/>
    <w:rsid w:val="003A32A4"/>
    <w:rsid w:val="003A4595"/>
    <w:rsid w:val="003A511E"/>
    <w:rsid w:val="003A59C1"/>
    <w:rsid w:val="003A5ABC"/>
    <w:rsid w:val="003A5AED"/>
    <w:rsid w:val="003A6922"/>
    <w:rsid w:val="003A70F2"/>
    <w:rsid w:val="003A786C"/>
    <w:rsid w:val="003A78A8"/>
    <w:rsid w:val="003A7C02"/>
    <w:rsid w:val="003A7D44"/>
    <w:rsid w:val="003B07F2"/>
    <w:rsid w:val="003B0CB3"/>
    <w:rsid w:val="003B1C08"/>
    <w:rsid w:val="003B1F0D"/>
    <w:rsid w:val="003B209E"/>
    <w:rsid w:val="003B22B8"/>
    <w:rsid w:val="003B3106"/>
    <w:rsid w:val="003B3679"/>
    <w:rsid w:val="003B3B5C"/>
    <w:rsid w:val="003B3DD4"/>
    <w:rsid w:val="003B4E30"/>
    <w:rsid w:val="003B4EFA"/>
    <w:rsid w:val="003B51C4"/>
    <w:rsid w:val="003B5AA4"/>
    <w:rsid w:val="003B5BD7"/>
    <w:rsid w:val="003B63B4"/>
    <w:rsid w:val="003B673D"/>
    <w:rsid w:val="003B7143"/>
    <w:rsid w:val="003B76DC"/>
    <w:rsid w:val="003B7C53"/>
    <w:rsid w:val="003B7E3B"/>
    <w:rsid w:val="003C0027"/>
    <w:rsid w:val="003C061E"/>
    <w:rsid w:val="003C0A7C"/>
    <w:rsid w:val="003C0BF0"/>
    <w:rsid w:val="003C2031"/>
    <w:rsid w:val="003C245E"/>
    <w:rsid w:val="003C2506"/>
    <w:rsid w:val="003C2594"/>
    <w:rsid w:val="003C28F5"/>
    <w:rsid w:val="003C2B98"/>
    <w:rsid w:val="003C3CAC"/>
    <w:rsid w:val="003C3D20"/>
    <w:rsid w:val="003C4D8F"/>
    <w:rsid w:val="003C546C"/>
    <w:rsid w:val="003C61D6"/>
    <w:rsid w:val="003C6225"/>
    <w:rsid w:val="003C7504"/>
    <w:rsid w:val="003C78B4"/>
    <w:rsid w:val="003C7A4F"/>
    <w:rsid w:val="003C7A72"/>
    <w:rsid w:val="003C7ACC"/>
    <w:rsid w:val="003D0249"/>
    <w:rsid w:val="003D09ED"/>
    <w:rsid w:val="003D0E16"/>
    <w:rsid w:val="003D13F0"/>
    <w:rsid w:val="003D19BC"/>
    <w:rsid w:val="003D1BBC"/>
    <w:rsid w:val="003D256D"/>
    <w:rsid w:val="003D2576"/>
    <w:rsid w:val="003D5CA3"/>
    <w:rsid w:val="003D618E"/>
    <w:rsid w:val="003D61DF"/>
    <w:rsid w:val="003D6D70"/>
    <w:rsid w:val="003D7014"/>
    <w:rsid w:val="003D7898"/>
    <w:rsid w:val="003D79E3"/>
    <w:rsid w:val="003E0478"/>
    <w:rsid w:val="003E06A0"/>
    <w:rsid w:val="003E0999"/>
    <w:rsid w:val="003E1028"/>
    <w:rsid w:val="003E13CD"/>
    <w:rsid w:val="003E1417"/>
    <w:rsid w:val="003E15BB"/>
    <w:rsid w:val="003E1990"/>
    <w:rsid w:val="003E23BD"/>
    <w:rsid w:val="003E2C3A"/>
    <w:rsid w:val="003E334A"/>
    <w:rsid w:val="003E3B8C"/>
    <w:rsid w:val="003E3EFF"/>
    <w:rsid w:val="003E44DA"/>
    <w:rsid w:val="003E54FD"/>
    <w:rsid w:val="003E5650"/>
    <w:rsid w:val="003E592E"/>
    <w:rsid w:val="003E5F83"/>
    <w:rsid w:val="003E613B"/>
    <w:rsid w:val="003E69F2"/>
    <w:rsid w:val="003E7570"/>
    <w:rsid w:val="003E7B8E"/>
    <w:rsid w:val="003E7D75"/>
    <w:rsid w:val="003F055B"/>
    <w:rsid w:val="003F077D"/>
    <w:rsid w:val="003F1849"/>
    <w:rsid w:val="003F1ED0"/>
    <w:rsid w:val="003F2D58"/>
    <w:rsid w:val="003F3927"/>
    <w:rsid w:val="003F597E"/>
    <w:rsid w:val="003F5A1E"/>
    <w:rsid w:val="003F5F2E"/>
    <w:rsid w:val="003F60B9"/>
    <w:rsid w:val="003F6B68"/>
    <w:rsid w:val="004004A1"/>
    <w:rsid w:val="00400A8B"/>
    <w:rsid w:val="00401130"/>
    <w:rsid w:val="00401324"/>
    <w:rsid w:val="00401826"/>
    <w:rsid w:val="004021DE"/>
    <w:rsid w:val="00402A2F"/>
    <w:rsid w:val="0040327A"/>
    <w:rsid w:val="004048C1"/>
    <w:rsid w:val="00404F40"/>
    <w:rsid w:val="004057B8"/>
    <w:rsid w:val="00405AA5"/>
    <w:rsid w:val="00405E10"/>
    <w:rsid w:val="00405F4E"/>
    <w:rsid w:val="004066D5"/>
    <w:rsid w:val="00406A5F"/>
    <w:rsid w:val="00406FA4"/>
    <w:rsid w:val="00406FCA"/>
    <w:rsid w:val="00407075"/>
    <w:rsid w:val="004071EE"/>
    <w:rsid w:val="004115A2"/>
    <w:rsid w:val="00411B88"/>
    <w:rsid w:val="00412151"/>
    <w:rsid w:val="00412620"/>
    <w:rsid w:val="00412631"/>
    <w:rsid w:val="004127C8"/>
    <w:rsid w:val="0041298D"/>
    <w:rsid w:val="004131BE"/>
    <w:rsid w:val="00413541"/>
    <w:rsid w:val="00413881"/>
    <w:rsid w:val="00413BB7"/>
    <w:rsid w:val="004147FB"/>
    <w:rsid w:val="00414CDC"/>
    <w:rsid w:val="00415925"/>
    <w:rsid w:val="0041669C"/>
    <w:rsid w:val="00417494"/>
    <w:rsid w:val="004174A6"/>
    <w:rsid w:val="0042085E"/>
    <w:rsid w:val="00420963"/>
    <w:rsid w:val="00420DDB"/>
    <w:rsid w:val="00422172"/>
    <w:rsid w:val="00422190"/>
    <w:rsid w:val="00422235"/>
    <w:rsid w:val="004228EE"/>
    <w:rsid w:val="00422CAC"/>
    <w:rsid w:val="00423048"/>
    <w:rsid w:val="004242E1"/>
    <w:rsid w:val="0042452A"/>
    <w:rsid w:val="00424813"/>
    <w:rsid w:val="00425002"/>
    <w:rsid w:val="0042524B"/>
    <w:rsid w:val="004254F2"/>
    <w:rsid w:val="00425D35"/>
    <w:rsid w:val="004260FF"/>
    <w:rsid w:val="004269DF"/>
    <w:rsid w:val="00427626"/>
    <w:rsid w:val="00430421"/>
    <w:rsid w:val="00430684"/>
    <w:rsid w:val="00430855"/>
    <w:rsid w:val="004315CC"/>
    <w:rsid w:val="00431641"/>
    <w:rsid w:val="00431E41"/>
    <w:rsid w:val="00432716"/>
    <w:rsid w:val="00432C04"/>
    <w:rsid w:val="00432E4C"/>
    <w:rsid w:val="00433034"/>
    <w:rsid w:val="004331C4"/>
    <w:rsid w:val="00434846"/>
    <w:rsid w:val="00434D7C"/>
    <w:rsid w:val="00436054"/>
    <w:rsid w:val="004361C9"/>
    <w:rsid w:val="00436C6F"/>
    <w:rsid w:val="00436FF4"/>
    <w:rsid w:val="00437D40"/>
    <w:rsid w:val="004405BD"/>
    <w:rsid w:val="00440E70"/>
    <w:rsid w:val="00441FF7"/>
    <w:rsid w:val="0044278E"/>
    <w:rsid w:val="00442BD7"/>
    <w:rsid w:val="00442C46"/>
    <w:rsid w:val="00442CA6"/>
    <w:rsid w:val="004430C4"/>
    <w:rsid w:val="0044327B"/>
    <w:rsid w:val="00443E83"/>
    <w:rsid w:val="004444A0"/>
    <w:rsid w:val="00444A91"/>
    <w:rsid w:val="00444B4A"/>
    <w:rsid w:val="00445090"/>
    <w:rsid w:val="004458D3"/>
    <w:rsid w:val="00446DB1"/>
    <w:rsid w:val="004470E2"/>
    <w:rsid w:val="00447928"/>
    <w:rsid w:val="00447EF0"/>
    <w:rsid w:val="0045011D"/>
    <w:rsid w:val="00450BF7"/>
    <w:rsid w:val="00450DBD"/>
    <w:rsid w:val="00451CBD"/>
    <w:rsid w:val="00452101"/>
    <w:rsid w:val="0045223B"/>
    <w:rsid w:val="00452572"/>
    <w:rsid w:val="00453972"/>
    <w:rsid w:val="00453EB0"/>
    <w:rsid w:val="00454128"/>
    <w:rsid w:val="004543F7"/>
    <w:rsid w:val="004547B5"/>
    <w:rsid w:val="00454958"/>
    <w:rsid w:val="00454C5A"/>
    <w:rsid w:val="00454EEC"/>
    <w:rsid w:val="00454FBF"/>
    <w:rsid w:val="00455263"/>
    <w:rsid w:val="00455424"/>
    <w:rsid w:val="0045687B"/>
    <w:rsid w:val="00456E51"/>
    <w:rsid w:val="00456E6B"/>
    <w:rsid w:val="00460E42"/>
    <w:rsid w:val="00460E56"/>
    <w:rsid w:val="00461044"/>
    <w:rsid w:val="00461241"/>
    <w:rsid w:val="00461DFA"/>
    <w:rsid w:val="004620D2"/>
    <w:rsid w:val="004621A7"/>
    <w:rsid w:val="00462659"/>
    <w:rsid w:val="00462DF8"/>
    <w:rsid w:val="00463CC4"/>
    <w:rsid w:val="0046481C"/>
    <w:rsid w:val="004648BC"/>
    <w:rsid w:val="00464ED7"/>
    <w:rsid w:val="004657D9"/>
    <w:rsid w:val="00465A6A"/>
    <w:rsid w:val="00465AB5"/>
    <w:rsid w:val="00465D60"/>
    <w:rsid w:val="00466634"/>
    <w:rsid w:val="00467D22"/>
    <w:rsid w:val="0047074A"/>
    <w:rsid w:val="004707F0"/>
    <w:rsid w:val="00470AEF"/>
    <w:rsid w:val="0047157F"/>
    <w:rsid w:val="00471765"/>
    <w:rsid w:val="00471A4C"/>
    <w:rsid w:val="00471B43"/>
    <w:rsid w:val="0047205E"/>
    <w:rsid w:val="004726D1"/>
    <w:rsid w:val="004736FF"/>
    <w:rsid w:val="00473988"/>
    <w:rsid w:val="00473C04"/>
    <w:rsid w:val="0047439D"/>
    <w:rsid w:val="00474488"/>
    <w:rsid w:val="004744A4"/>
    <w:rsid w:val="00474890"/>
    <w:rsid w:val="00474A02"/>
    <w:rsid w:val="00474B14"/>
    <w:rsid w:val="00475270"/>
    <w:rsid w:val="00475A2B"/>
    <w:rsid w:val="00476C1B"/>
    <w:rsid w:val="00476F1D"/>
    <w:rsid w:val="00477805"/>
    <w:rsid w:val="00477904"/>
    <w:rsid w:val="004779E4"/>
    <w:rsid w:val="00477C6B"/>
    <w:rsid w:val="00477CE4"/>
    <w:rsid w:val="00477E61"/>
    <w:rsid w:val="00480DB1"/>
    <w:rsid w:val="00480FBF"/>
    <w:rsid w:val="00481C86"/>
    <w:rsid w:val="00481CA7"/>
    <w:rsid w:val="004824AC"/>
    <w:rsid w:val="00483172"/>
    <w:rsid w:val="00483F6A"/>
    <w:rsid w:val="004844CD"/>
    <w:rsid w:val="00484872"/>
    <w:rsid w:val="0048559D"/>
    <w:rsid w:val="00485F7E"/>
    <w:rsid w:val="00486116"/>
    <w:rsid w:val="004863BA"/>
    <w:rsid w:val="0048641A"/>
    <w:rsid w:val="00487BD5"/>
    <w:rsid w:val="00490261"/>
    <w:rsid w:val="00491B3D"/>
    <w:rsid w:val="00493848"/>
    <w:rsid w:val="00494812"/>
    <w:rsid w:val="00494E1F"/>
    <w:rsid w:val="004951C2"/>
    <w:rsid w:val="00495478"/>
    <w:rsid w:val="00495493"/>
    <w:rsid w:val="00496576"/>
    <w:rsid w:val="004966B8"/>
    <w:rsid w:val="0049672E"/>
    <w:rsid w:val="004972D0"/>
    <w:rsid w:val="004979C8"/>
    <w:rsid w:val="00497B7D"/>
    <w:rsid w:val="004A0E8A"/>
    <w:rsid w:val="004A18EB"/>
    <w:rsid w:val="004A1B0B"/>
    <w:rsid w:val="004A295E"/>
    <w:rsid w:val="004A2C85"/>
    <w:rsid w:val="004A2DB5"/>
    <w:rsid w:val="004A3285"/>
    <w:rsid w:val="004A340A"/>
    <w:rsid w:val="004A3A38"/>
    <w:rsid w:val="004A3CD6"/>
    <w:rsid w:val="004A401E"/>
    <w:rsid w:val="004A442B"/>
    <w:rsid w:val="004A4E1B"/>
    <w:rsid w:val="004A52D2"/>
    <w:rsid w:val="004A5C41"/>
    <w:rsid w:val="004A6743"/>
    <w:rsid w:val="004A6FD7"/>
    <w:rsid w:val="004A7204"/>
    <w:rsid w:val="004A78E4"/>
    <w:rsid w:val="004A7B3A"/>
    <w:rsid w:val="004A7C92"/>
    <w:rsid w:val="004B0198"/>
    <w:rsid w:val="004B0A1E"/>
    <w:rsid w:val="004B0DB4"/>
    <w:rsid w:val="004B11EC"/>
    <w:rsid w:val="004B12BA"/>
    <w:rsid w:val="004B13B6"/>
    <w:rsid w:val="004B14A0"/>
    <w:rsid w:val="004B17A6"/>
    <w:rsid w:val="004B1AF0"/>
    <w:rsid w:val="004B21AE"/>
    <w:rsid w:val="004B2627"/>
    <w:rsid w:val="004B2E69"/>
    <w:rsid w:val="004B33E9"/>
    <w:rsid w:val="004B3425"/>
    <w:rsid w:val="004B3D6E"/>
    <w:rsid w:val="004B4EA6"/>
    <w:rsid w:val="004B4FF0"/>
    <w:rsid w:val="004B5F27"/>
    <w:rsid w:val="004B6561"/>
    <w:rsid w:val="004B75CF"/>
    <w:rsid w:val="004B772B"/>
    <w:rsid w:val="004B7873"/>
    <w:rsid w:val="004B79FA"/>
    <w:rsid w:val="004B7D30"/>
    <w:rsid w:val="004B7DBA"/>
    <w:rsid w:val="004C1823"/>
    <w:rsid w:val="004C2CC9"/>
    <w:rsid w:val="004C3168"/>
    <w:rsid w:val="004C36A4"/>
    <w:rsid w:val="004C3CB5"/>
    <w:rsid w:val="004C3D98"/>
    <w:rsid w:val="004C3E8D"/>
    <w:rsid w:val="004C3EFF"/>
    <w:rsid w:val="004C478B"/>
    <w:rsid w:val="004C4B59"/>
    <w:rsid w:val="004C537C"/>
    <w:rsid w:val="004C575F"/>
    <w:rsid w:val="004C5A23"/>
    <w:rsid w:val="004C61ED"/>
    <w:rsid w:val="004C6B9F"/>
    <w:rsid w:val="004C6CAF"/>
    <w:rsid w:val="004C6DED"/>
    <w:rsid w:val="004C765F"/>
    <w:rsid w:val="004C7B42"/>
    <w:rsid w:val="004C7D38"/>
    <w:rsid w:val="004D04DA"/>
    <w:rsid w:val="004D0605"/>
    <w:rsid w:val="004D0E6C"/>
    <w:rsid w:val="004D1525"/>
    <w:rsid w:val="004D1A9F"/>
    <w:rsid w:val="004D1DED"/>
    <w:rsid w:val="004D1E4F"/>
    <w:rsid w:val="004D270B"/>
    <w:rsid w:val="004D281D"/>
    <w:rsid w:val="004D28D9"/>
    <w:rsid w:val="004D38B9"/>
    <w:rsid w:val="004D3A68"/>
    <w:rsid w:val="004D486E"/>
    <w:rsid w:val="004D4A09"/>
    <w:rsid w:val="004D4F49"/>
    <w:rsid w:val="004D507D"/>
    <w:rsid w:val="004D538B"/>
    <w:rsid w:val="004D547F"/>
    <w:rsid w:val="004D5AE0"/>
    <w:rsid w:val="004D66AF"/>
    <w:rsid w:val="004D6AD9"/>
    <w:rsid w:val="004D6D17"/>
    <w:rsid w:val="004D7309"/>
    <w:rsid w:val="004D74B2"/>
    <w:rsid w:val="004D7644"/>
    <w:rsid w:val="004D79F3"/>
    <w:rsid w:val="004D7C2D"/>
    <w:rsid w:val="004E069F"/>
    <w:rsid w:val="004E18B7"/>
    <w:rsid w:val="004E1B20"/>
    <w:rsid w:val="004E1C18"/>
    <w:rsid w:val="004E2461"/>
    <w:rsid w:val="004E2A38"/>
    <w:rsid w:val="004E2AC7"/>
    <w:rsid w:val="004E42E4"/>
    <w:rsid w:val="004E49A9"/>
    <w:rsid w:val="004E4AC1"/>
    <w:rsid w:val="004E4D26"/>
    <w:rsid w:val="004E50C1"/>
    <w:rsid w:val="004E596B"/>
    <w:rsid w:val="004E60B2"/>
    <w:rsid w:val="004E6B34"/>
    <w:rsid w:val="004E6CF4"/>
    <w:rsid w:val="004E779F"/>
    <w:rsid w:val="004E7C2A"/>
    <w:rsid w:val="004F0388"/>
    <w:rsid w:val="004F1724"/>
    <w:rsid w:val="004F2B10"/>
    <w:rsid w:val="004F2CE1"/>
    <w:rsid w:val="004F2F29"/>
    <w:rsid w:val="004F3C55"/>
    <w:rsid w:val="004F3EB7"/>
    <w:rsid w:val="004F419D"/>
    <w:rsid w:val="004F4776"/>
    <w:rsid w:val="004F48A1"/>
    <w:rsid w:val="004F50F8"/>
    <w:rsid w:val="004F5329"/>
    <w:rsid w:val="004F5512"/>
    <w:rsid w:val="004F6548"/>
    <w:rsid w:val="004F690A"/>
    <w:rsid w:val="004F722B"/>
    <w:rsid w:val="004F793E"/>
    <w:rsid w:val="0050038F"/>
    <w:rsid w:val="005009DE"/>
    <w:rsid w:val="00501243"/>
    <w:rsid w:val="005017D8"/>
    <w:rsid w:val="00501958"/>
    <w:rsid w:val="00502CF7"/>
    <w:rsid w:val="0050471B"/>
    <w:rsid w:val="0050488F"/>
    <w:rsid w:val="00504CBA"/>
    <w:rsid w:val="00505570"/>
    <w:rsid w:val="00505799"/>
    <w:rsid w:val="0050628F"/>
    <w:rsid w:val="005067DF"/>
    <w:rsid w:val="005073B9"/>
    <w:rsid w:val="00507614"/>
    <w:rsid w:val="005102C2"/>
    <w:rsid w:val="0051076F"/>
    <w:rsid w:val="00510E95"/>
    <w:rsid w:val="005111A4"/>
    <w:rsid w:val="005118FF"/>
    <w:rsid w:val="00511A53"/>
    <w:rsid w:val="00511F86"/>
    <w:rsid w:val="00512002"/>
    <w:rsid w:val="00512F90"/>
    <w:rsid w:val="005130BA"/>
    <w:rsid w:val="00513CC6"/>
    <w:rsid w:val="00514106"/>
    <w:rsid w:val="00514699"/>
    <w:rsid w:val="005147BB"/>
    <w:rsid w:val="00514C13"/>
    <w:rsid w:val="005156BB"/>
    <w:rsid w:val="00515E57"/>
    <w:rsid w:val="00516383"/>
    <w:rsid w:val="005169AB"/>
    <w:rsid w:val="0051716E"/>
    <w:rsid w:val="0051724C"/>
    <w:rsid w:val="00520037"/>
    <w:rsid w:val="005206F2"/>
    <w:rsid w:val="00520891"/>
    <w:rsid w:val="00520E31"/>
    <w:rsid w:val="00522260"/>
    <w:rsid w:val="00522266"/>
    <w:rsid w:val="00523833"/>
    <w:rsid w:val="00523EE7"/>
    <w:rsid w:val="00525D5A"/>
    <w:rsid w:val="00525DCB"/>
    <w:rsid w:val="005276ED"/>
    <w:rsid w:val="0052790A"/>
    <w:rsid w:val="00527DB2"/>
    <w:rsid w:val="00527F37"/>
    <w:rsid w:val="00531178"/>
    <w:rsid w:val="00532393"/>
    <w:rsid w:val="005328DD"/>
    <w:rsid w:val="00533125"/>
    <w:rsid w:val="0053338A"/>
    <w:rsid w:val="005338E1"/>
    <w:rsid w:val="00533A41"/>
    <w:rsid w:val="00533A7B"/>
    <w:rsid w:val="00534604"/>
    <w:rsid w:val="00534B58"/>
    <w:rsid w:val="00534CA2"/>
    <w:rsid w:val="0053524B"/>
    <w:rsid w:val="005353B9"/>
    <w:rsid w:val="0053604A"/>
    <w:rsid w:val="00536129"/>
    <w:rsid w:val="00536DA1"/>
    <w:rsid w:val="00536E82"/>
    <w:rsid w:val="00537C22"/>
    <w:rsid w:val="00540750"/>
    <w:rsid w:val="00540879"/>
    <w:rsid w:val="005412FF"/>
    <w:rsid w:val="00541383"/>
    <w:rsid w:val="00541706"/>
    <w:rsid w:val="00541D1A"/>
    <w:rsid w:val="00541E31"/>
    <w:rsid w:val="00542197"/>
    <w:rsid w:val="00542CDE"/>
    <w:rsid w:val="005435B6"/>
    <w:rsid w:val="00543E8D"/>
    <w:rsid w:val="00544075"/>
    <w:rsid w:val="00544220"/>
    <w:rsid w:val="0054443B"/>
    <w:rsid w:val="00544B71"/>
    <w:rsid w:val="00546088"/>
    <w:rsid w:val="0054702B"/>
    <w:rsid w:val="005474C9"/>
    <w:rsid w:val="00550340"/>
    <w:rsid w:val="005507E0"/>
    <w:rsid w:val="00551582"/>
    <w:rsid w:val="00551BFB"/>
    <w:rsid w:val="00552FCE"/>
    <w:rsid w:val="00553707"/>
    <w:rsid w:val="005540C1"/>
    <w:rsid w:val="00555433"/>
    <w:rsid w:val="0055567A"/>
    <w:rsid w:val="00555803"/>
    <w:rsid w:val="00555930"/>
    <w:rsid w:val="00556053"/>
    <w:rsid w:val="00556337"/>
    <w:rsid w:val="00556C2B"/>
    <w:rsid w:val="00557086"/>
    <w:rsid w:val="00557264"/>
    <w:rsid w:val="0055727F"/>
    <w:rsid w:val="005578A9"/>
    <w:rsid w:val="00557A3F"/>
    <w:rsid w:val="00557B14"/>
    <w:rsid w:val="00560555"/>
    <w:rsid w:val="00560790"/>
    <w:rsid w:val="005607AD"/>
    <w:rsid w:val="00560AFA"/>
    <w:rsid w:val="00560FBC"/>
    <w:rsid w:val="0056102C"/>
    <w:rsid w:val="00561785"/>
    <w:rsid w:val="005623D8"/>
    <w:rsid w:val="005627C3"/>
    <w:rsid w:val="00563A1A"/>
    <w:rsid w:val="00564C41"/>
    <w:rsid w:val="00564E4D"/>
    <w:rsid w:val="00565020"/>
    <w:rsid w:val="005650A0"/>
    <w:rsid w:val="005650C4"/>
    <w:rsid w:val="00565720"/>
    <w:rsid w:val="00565C3E"/>
    <w:rsid w:val="00565CFB"/>
    <w:rsid w:val="00566250"/>
    <w:rsid w:val="0056648A"/>
    <w:rsid w:val="005669E5"/>
    <w:rsid w:val="00567D75"/>
    <w:rsid w:val="005707EE"/>
    <w:rsid w:val="005708F3"/>
    <w:rsid w:val="005721B4"/>
    <w:rsid w:val="0057257E"/>
    <w:rsid w:val="005727B1"/>
    <w:rsid w:val="00572A87"/>
    <w:rsid w:val="00573232"/>
    <w:rsid w:val="00574197"/>
    <w:rsid w:val="00574251"/>
    <w:rsid w:val="005744C1"/>
    <w:rsid w:val="00575417"/>
    <w:rsid w:val="00575E97"/>
    <w:rsid w:val="0057608A"/>
    <w:rsid w:val="005762F5"/>
    <w:rsid w:val="005768EF"/>
    <w:rsid w:val="005775D3"/>
    <w:rsid w:val="0057767E"/>
    <w:rsid w:val="00577B4B"/>
    <w:rsid w:val="00580098"/>
    <w:rsid w:val="00580759"/>
    <w:rsid w:val="005827D8"/>
    <w:rsid w:val="00582B0C"/>
    <w:rsid w:val="00583345"/>
    <w:rsid w:val="00583631"/>
    <w:rsid w:val="00583F33"/>
    <w:rsid w:val="00584F0A"/>
    <w:rsid w:val="005858ED"/>
    <w:rsid w:val="00585D8A"/>
    <w:rsid w:val="005864ED"/>
    <w:rsid w:val="005870EC"/>
    <w:rsid w:val="0058712F"/>
    <w:rsid w:val="0058716D"/>
    <w:rsid w:val="00587B32"/>
    <w:rsid w:val="00587E6E"/>
    <w:rsid w:val="005903EC"/>
    <w:rsid w:val="00590735"/>
    <w:rsid w:val="00590BE2"/>
    <w:rsid w:val="00590EC7"/>
    <w:rsid w:val="00591207"/>
    <w:rsid w:val="00591BB5"/>
    <w:rsid w:val="005922E5"/>
    <w:rsid w:val="0059258A"/>
    <w:rsid w:val="0059362A"/>
    <w:rsid w:val="0059381D"/>
    <w:rsid w:val="00593CAB"/>
    <w:rsid w:val="0059419D"/>
    <w:rsid w:val="005963FA"/>
    <w:rsid w:val="00596DCE"/>
    <w:rsid w:val="0059703C"/>
    <w:rsid w:val="00597606"/>
    <w:rsid w:val="00597EFC"/>
    <w:rsid w:val="005A0710"/>
    <w:rsid w:val="005A08ED"/>
    <w:rsid w:val="005A0B5A"/>
    <w:rsid w:val="005A0E87"/>
    <w:rsid w:val="005A110C"/>
    <w:rsid w:val="005A1E23"/>
    <w:rsid w:val="005A2A76"/>
    <w:rsid w:val="005A2EFC"/>
    <w:rsid w:val="005A33CC"/>
    <w:rsid w:val="005A37C3"/>
    <w:rsid w:val="005A3DB3"/>
    <w:rsid w:val="005A3F4C"/>
    <w:rsid w:val="005A43AB"/>
    <w:rsid w:val="005A52A9"/>
    <w:rsid w:val="005A580F"/>
    <w:rsid w:val="005A5B82"/>
    <w:rsid w:val="005A5EBC"/>
    <w:rsid w:val="005A636E"/>
    <w:rsid w:val="005A670F"/>
    <w:rsid w:val="005A6C24"/>
    <w:rsid w:val="005A6DFD"/>
    <w:rsid w:val="005A7E0D"/>
    <w:rsid w:val="005A7E4D"/>
    <w:rsid w:val="005B03EA"/>
    <w:rsid w:val="005B042A"/>
    <w:rsid w:val="005B0806"/>
    <w:rsid w:val="005B0890"/>
    <w:rsid w:val="005B0A33"/>
    <w:rsid w:val="005B118E"/>
    <w:rsid w:val="005B134D"/>
    <w:rsid w:val="005B18C5"/>
    <w:rsid w:val="005B19A5"/>
    <w:rsid w:val="005B1A0F"/>
    <w:rsid w:val="005B1FC8"/>
    <w:rsid w:val="005B224F"/>
    <w:rsid w:val="005B2E2D"/>
    <w:rsid w:val="005B3975"/>
    <w:rsid w:val="005B39D5"/>
    <w:rsid w:val="005B3E48"/>
    <w:rsid w:val="005B4240"/>
    <w:rsid w:val="005B492E"/>
    <w:rsid w:val="005B4B07"/>
    <w:rsid w:val="005B54A4"/>
    <w:rsid w:val="005B6053"/>
    <w:rsid w:val="005B6BE8"/>
    <w:rsid w:val="005B6E96"/>
    <w:rsid w:val="005B7541"/>
    <w:rsid w:val="005B7983"/>
    <w:rsid w:val="005C0310"/>
    <w:rsid w:val="005C0510"/>
    <w:rsid w:val="005C11C6"/>
    <w:rsid w:val="005C17BF"/>
    <w:rsid w:val="005C1EB6"/>
    <w:rsid w:val="005C2086"/>
    <w:rsid w:val="005C23F3"/>
    <w:rsid w:val="005C2633"/>
    <w:rsid w:val="005C2C37"/>
    <w:rsid w:val="005C30D9"/>
    <w:rsid w:val="005C360F"/>
    <w:rsid w:val="005C36C3"/>
    <w:rsid w:val="005C3E36"/>
    <w:rsid w:val="005C493E"/>
    <w:rsid w:val="005C4C64"/>
    <w:rsid w:val="005C514C"/>
    <w:rsid w:val="005C59F3"/>
    <w:rsid w:val="005C5E1A"/>
    <w:rsid w:val="005C67A3"/>
    <w:rsid w:val="005C6DA6"/>
    <w:rsid w:val="005C7216"/>
    <w:rsid w:val="005C7C03"/>
    <w:rsid w:val="005D07B6"/>
    <w:rsid w:val="005D12A0"/>
    <w:rsid w:val="005D194D"/>
    <w:rsid w:val="005D215A"/>
    <w:rsid w:val="005D2662"/>
    <w:rsid w:val="005D26D0"/>
    <w:rsid w:val="005D28E0"/>
    <w:rsid w:val="005D3FEE"/>
    <w:rsid w:val="005D43B1"/>
    <w:rsid w:val="005D46F7"/>
    <w:rsid w:val="005D4877"/>
    <w:rsid w:val="005D4B59"/>
    <w:rsid w:val="005D4CCC"/>
    <w:rsid w:val="005D51A3"/>
    <w:rsid w:val="005D5BA6"/>
    <w:rsid w:val="005D5E32"/>
    <w:rsid w:val="005D6BA0"/>
    <w:rsid w:val="005D70B1"/>
    <w:rsid w:val="005D7210"/>
    <w:rsid w:val="005D7752"/>
    <w:rsid w:val="005E0852"/>
    <w:rsid w:val="005E0B70"/>
    <w:rsid w:val="005E1406"/>
    <w:rsid w:val="005E1646"/>
    <w:rsid w:val="005E1E9F"/>
    <w:rsid w:val="005E2246"/>
    <w:rsid w:val="005E2331"/>
    <w:rsid w:val="005E275F"/>
    <w:rsid w:val="005E2874"/>
    <w:rsid w:val="005E2C1C"/>
    <w:rsid w:val="005E3C86"/>
    <w:rsid w:val="005E3CE4"/>
    <w:rsid w:val="005E4077"/>
    <w:rsid w:val="005E55BB"/>
    <w:rsid w:val="005E5A2B"/>
    <w:rsid w:val="005E5D66"/>
    <w:rsid w:val="005E6AE9"/>
    <w:rsid w:val="005F13B7"/>
    <w:rsid w:val="005F1C88"/>
    <w:rsid w:val="005F2085"/>
    <w:rsid w:val="005F2269"/>
    <w:rsid w:val="005F2379"/>
    <w:rsid w:val="005F2B6C"/>
    <w:rsid w:val="005F34DE"/>
    <w:rsid w:val="005F3650"/>
    <w:rsid w:val="005F3744"/>
    <w:rsid w:val="005F3FB4"/>
    <w:rsid w:val="005F3FED"/>
    <w:rsid w:val="005F5016"/>
    <w:rsid w:val="005F5BAE"/>
    <w:rsid w:val="005F68D3"/>
    <w:rsid w:val="005F70CA"/>
    <w:rsid w:val="005F7487"/>
    <w:rsid w:val="005F750B"/>
    <w:rsid w:val="0060059A"/>
    <w:rsid w:val="00600BF7"/>
    <w:rsid w:val="00600D16"/>
    <w:rsid w:val="00600EF9"/>
    <w:rsid w:val="006015B6"/>
    <w:rsid w:val="0060237E"/>
    <w:rsid w:val="0060306B"/>
    <w:rsid w:val="0060320C"/>
    <w:rsid w:val="00603C11"/>
    <w:rsid w:val="00603D52"/>
    <w:rsid w:val="00603F3E"/>
    <w:rsid w:val="00604586"/>
    <w:rsid w:val="0060498A"/>
    <w:rsid w:val="00605195"/>
    <w:rsid w:val="0060535A"/>
    <w:rsid w:val="006063AA"/>
    <w:rsid w:val="00606509"/>
    <w:rsid w:val="00606746"/>
    <w:rsid w:val="0060707F"/>
    <w:rsid w:val="00607501"/>
    <w:rsid w:val="006078C2"/>
    <w:rsid w:val="006102FD"/>
    <w:rsid w:val="00610380"/>
    <w:rsid w:val="00610C7C"/>
    <w:rsid w:val="00610E2A"/>
    <w:rsid w:val="00611104"/>
    <w:rsid w:val="00611191"/>
    <w:rsid w:val="00611873"/>
    <w:rsid w:val="006118C2"/>
    <w:rsid w:val="00611936"/>
    <w:rsid w:val="00611A39"/>
    <w:rsid w:val="00611B45"/>
    <w:rsid w:val="00611E74"/>
    <w:rsid w:val="0061248B"/>
    <w:rsid w:val="00613A4F"/>
    <w:rsid w:val="00613B85"/>
    <w:rsid w:val="006141AB"/>
    <w:rsid w:val="0061429B"/>
    <w:rsid w:val="00614A80"/>
    <w:rsid w:val="00614EBA"/>
    <w:rsid w:val="00614F7D"/>
    <w:rsid w:val="0061597C"/>
    <w:rsid w:val="00616337"/>
    <w:rsid w:val="00616619"/>
    <w:rsid w:val="006167AD"/>
    <w:rsid w:val="00616F70"/>
    <w:rsid w:val="00617588"/>
    <w:rsid w:val="00617949"/>
    <w:rsid w:val="006204DE"/>
    <w:rsid w:val="006205C4"/>
    <w:rsid w:val="00620C1A"/>
    <w:rsid w:val="006213D0"/>
    <w:rsid w:val="00621840"/>
    <w:rsid w:val="00622300"/>
    <w:rsid w:val="006225E4"/>
    <w:rsid w:val="00622E46"/>
    <w:rsid w:val="00623F62"/>
    <w:rsid w:val="00624BB8"/>
    <w:rsid w:val="0062585E"/>
    <w:rsid w:val="00625A20"/>
    <w:rsid w:val="00625CB2"/>
    <w:rsid w:val="0062636A"/>
    <w:rsid w:val="00626D86"/>
    <w:rsid w:val="00626D88"/>
    <w:rsid w:val="006272D4"/>
    <w:rsid w:val="00627350"/>
    <w:rsid w:val="0062740F"/>
    <w:rsid w:val="00627437"/>
    <w:rsid w:val="0062758B"/>
    <w:rsid w:val="00627956"/>
    <w:rsid w:val="00627E66"/>
    <w:rsid w:val="00630063"/>
    <w:rsid w:val="00632447"/>
    <w:rsid w:val="00634EF8"/>
    <w:rsid w:val="006357D4"/>
    <w:rsid w:val="00635D29"/>
    <w:rsid w:val="00635D2C"/>
    <w:rsid w:val="00635D58"/>
    <w:rsid w:val="00635E45"/>
    <w:rsid w:val="00636E44"/>
    <w:rsid w:val="00637165"/>
    <w:rsid w:val="00637295"/>
    <w:rsid w:val="0063747E"/>
    <w:rsid w:val="00637665"/>
    <w:rsid w:val="00637C20"/>
    <w:rsid w:val="00640141"/>
    <w:rsid w:val="00640289"/>
    <w:rsid w:val="00642314"/>
    <w:rsid w:val="00642681"/>
    <w:rsid w:val="00642EFB"/>
    <w:rsid w:val="006435CB"/>
    <w:rsid w:val="00643A5C"/>
    <w:rsid w:val="0064435C"/>
    <w:rsid w:val="006455EC"/>
    <w:rsid w:val="00645855"/>
    <w:rsid w:val="00646409"/>
    <w:rsid w:val="006472DF"/>
    <w:rsid w:val="00647522"/>
    <w:rsid w:val="00647E2C"/>
    <w:rsid w:val="006500A5"/>
    <w:rsid w:val="006502F2"/>
    <w:rsid w:val="00650825"/>
    <w:rsid w:val="00650FE1"/>
    <w:rsid w:val="00651451"/>
    <w:rsid w:val="0065149E"/>
    <w:rsid w:val="00651529"/>
    <w:rsid w:val="00651979"/>
    <w:rsid w:val="006520A0"/>
    <w:rsid w:val="0065234F"/>
    <w:rsid w:val="0065416A"/>
    <w:rsid w:val="0065443D"/>
    <w:rsid w:val="00654C0F"/>
    <w:rsid w:val="00655465"/>
    <w:rsid w:val="006562BF"/>
    <w:rsid w:val="006603A8"/>
    <w:rsid w:val="00660544"/>
    <w:rsid w:val="006607AA"/>
    <w:rsid w:val="00661074"/>
    <w:rsid w:val="00661B2B"/>
    <w:rsid w:val="00661C22"/>
    <w:rsid w:val="006624CF"/>
    <w:rsid w:val="006625D4"/>
    <w:rsid w:val="00662610"/>
    <w:rsid w:val="006648D6"/>
    <w:rsid w:val="00664E9D"/>
    <w:rsid w:val="00665628"/>
    <w:rsid w:val="00667E3A"/>
    <w:rsid w:val="0067063E"/>
    <w:rsid w:val="00671AF2"/>
    <w:rsid w:val="00671F1E"/>
    <w:rsid w:val="006722CA"/>
    <w:rsid w:val="006735A9"/>
    <w:rsid w:val="00673C7C"/>
    <w:rsid w:val="00673EAE"/>
    <w:rsid w:val="00674112"/>
    <w:rsid w:val="0067426F"/>
    <w:rsid w:val="006746C0"/>
    <w:rsid w:val="00674F92"/>
    <w:rsid w:val="006760B0"/>
    <w:rsid w:val="0067719D"/>
    <w:rsid w:val="00677480"/>
    <w:rsid w:val="006779C5"/>
    <w:rsid w:val="0068041E"/>
    <w:rsid w:val="00680534"/>
    <w:rsid w:val="006816BA"/>
    <w:rsid w:val="00681A76"/>
    <w:rsid w:val="00681BAF"/>
    <w:rsid w:val="00681E7A"/>
    <w:rsid w:val="00682370"/>
    <w:rsid w:val="0068292A"/>
    <w:rsid w:val="00683201"/>
    <w:rsid w:val="00683361"/>
    <w:rsid w:val="0068430A"/>
    <w:rsid w:val="006844FA"/>
    <w:rsid w:val="0068497E"/>
    <w:rsid w:val="00685272"/>
    <w:rsid w:val="00685329"/>
    <w:rsid w:val="006856EB"/>
    <w:rsid w:val="00685708"/>
    <w:rsid w:val="00685CC9"/>
    <w:rsid w:val="006860E6"/>
    <w:rsid w:val="0068616A"/>
    <w:rsid w:val="00686829"/>
    <w:rsid w:val="00686867"/>
    <w:rsid w:val="006870E7"/>
    <w:rsid w:val="00687173"/>
    <w:rsid w:val="00687B2B"/>
    <w:rsid w:val="00687FF2"/>
    <w:rsid w:val="00690862"/>
    <w:rsid w:val="0069108E"/>
    <w:rsid w:val="006911F9"/>
    <w:rsid w:val="0069235F"/>
    <w:rsid w:val="006923F5"/>
    <w:rsid w:val="00692DF3"/>
    <w:rsid w:val="00692EE1"/>
    <w:rsid w:val="00693023"/>
    <w:rsid w:val="00693266"/>
    <w:rsid w:val="006934B1"/>
    <w:rsid w:val="00693756"/>
    <w:rsid w:val="00694749"/>
    <w:rsid w:val="00695C7E"/>
    <w:rsid w:val="00695CDE"/>
    <w:rsid w:val="006964C5"/>
    <w:rsid w:val="00697785"/>
    <w:rsid w:val="006A01AD"/>
    <w:rsid w:val="006A0D96"/>
    <w:rsid w:val="006A1334"/>
    <w:rsid w:val="006A2218"/>
    <w:rsid w:val="006A22D2"/>
    <w:rsid w:val="006A2449"/>
    <w:rsid w:val="006A315A"/>
    <w:rsid w:val="006A3A96"/>
    <w:rsid w:val="006A410F"/>
    <w:rsid w:val="006A501F"/>
    <w:rsid w:val="006A5137"/>
    <w:rsid w:val="006A5863"/>
    <w:rsid w:val="006A6097"/>
    <w:rsid w:val="006A6AE8"/>
    <w:rsid w:val="006A79FD"/>
    <w:rsid w:val="006A7D73"/>
    <w:rsid w:val="006A7F54"/>
    <w:rsid w:val="006A7FF6"/>
    <w:rsid w:val="006B0465"/>
    <w:rsid w:val="006B0555"/>
    <w:rsid w:val="006B1119"/>
    <w:rsid w:val="006B1166"/>
    <w:rsid w:val="006B1563"/>
    <w:rsid w:val="006B1671"/>
    <w:rsid w:val="006B1DCA"/>
    <w:rsid w:val="006B23C7"/>
    <w:rsid w:val="006B2ACB"/>
    <w:rsid w:val="006B2F78"/>
    <w:rsid w:val="006B30D3"/>
    <w:rsid w:val="006B3318"/>
    <w:rsid w:val="006B392C"/>
    <w:rsid w:val="006B3D22"/>
    <w:rsid w:val="006B40EB"/>
    <w:rsid w:val="006B43A3"/>
    <w:rsid w:val="006B4527"/>
    <w:rsid w:val="006B4BC1"/>
    <w:rsid w:val="006B586B"/>
    <w:rsid w:val="006B5C40"/>
    <w:rsid w:val="006B6B49"/>
    <w:rsid w:val="006B6ED6"/>
    <w:rsid w:val="006B75CB"/>
    <w:rsid w:val="006B76A4"/>
    <w:rsid w:val="006C0230"/>
    <w:rsid w:val="006C1045"/>
    <w:rsid w:val="006C116F"/>
    <w:rsid w:val="006C1D6A"/>
    <w:rsid w:val="006C27AA"/>
    <w:rsid w:val="006C2922"/>
    <w:rsid w:val="006C293E"/>
    <w:rsid w:val="006C411E"/>
    <w:rsid w:val="006C493E"/>
    <w:rsid w:val="006C5A0F"/>
    <w:rsid w:val="006C5DC0"/>
    <w:rsid w:val="006C5ED5"/>
    <w:rsid w:val="006C63FC"/>
    <w:rsid w:val="006C70D5"/>
    <w:rsid w:val="006C7837"/>
    <w:rsid w:val="006C78AB"/>
    <w:rsid w:val="006C7E50"/>
    <w:rsid w:val="006D02C1"/>
    <w:rsid w:val="006D0BEB"/>
    <w:rsid w:val="006D1125"/>
    <w:rsid w:val="006D1780"/>
    <w:rsid w:val="006D24EA"/>
    <w:rsid w:val="006D2899"/>
    <w:rsid w:val="006D3075"/>
    <w:rsid w:val="006D358E"/>
    <w:rsid w:val="006D36D2"/>
    <w:rsid w:val="006D4E6E"/>
    <w:rsid w:val="006D4F75"/>
    <w:rsid w:val="006D51DC"/>
    <w:rsid w:val="006D58BD"/>
    <w:rsid w:val="006D5E64"/>
    <w:rsid w:val="006D6602"/>
    <w:rsid w:val="006D67D3"/>
    <w:rsid w:val="006D7F36"/>
    <w:rsid w:val="006E031E"/>
    <w:rsid w:val="006E03EE"/>
    <w:rsid w:val="006E0CF5"/>
    <w:rsid w:val="006E0DDB"/>
    <w:rsid w:val="006E1124"/>
    <w:rsid w:val="006E18C5"/>
    <w:rsid w:val="006E218B"/>
    <w:rsid w:val="006E2B77"/>
    <w:rsid w:val="006E2E61"/>
    <w:rsid w:val="006E2EF3"/>
    <w:rsid w:val="006E3729"/>
    <w:rsid w:val="006E39A1"/>
    <w:rsid w:val="006E3FF3"/>
    <w:rsid w:val="006E444F"/>
    <w:rsid w:val="006E4671"/>
    <w:rsid w:val="006E46D7"/>
    <w:rsid w:val="006E4750"/>
    <w:rsid w:val="006E5A3E"/>
    <w:rsid w:val="006E62ED"/>
    <w:rsid w:val="006F0515"/>
    <w:rsid w:val="006F1D70"/>
    <w:rsid w:val="006F1F40"/>
    <w:rsid w:val="006F1F86"/>
    <w:rsid w:val="006F20CA"/>
    <w:rsid w:val="006F24C9"/>
    <w:rsid w:val="006F258A"/>
    <w:rsid w:val="006F288B"/>
    <w:rsid w:val="006F28C5"/>
    <w:rsid w:val="006F3AEF"/>
    <w:rsid w:val="006F4426"/>
    <w:rsid w:val="006F44F7"/>
    <w:rsid w:val="006F458F"/>
    <w:rsid w:val="006F498F"/>
    <w:rsid w:val="006F4E7E"/>
    <w:rsid w:val="006F56E3"/>
    <w:rsid w:val="006F61B7"/>
    <w:rsid w:val="006F6471"/>
    <w:rsid w:val="006F6634"/>
    <w:rsid w:val="006F6712"/>
    <w:rsid w:val="006F6B0D"/>
    <w:rsid w:val="006F6C14"/>
    <w:rsid w:val="006F7124"/>
    <w:rsid w:val="006F7215"/>
    <w:rsid w:val="007009C6"/>
    <w:rsid w:val="00700CA7"/>
    <w:rsid w:val="00700D90"/>
    <w:rsid w:val="00700FEE"/>
    <w:rsid w:val="00701C4F"/>
    <w:rsid w:val="0070421C"/>
    <w:rsid w:val="00704B1B"/>
    <w:rsid w:val="00704DAB"/>
    <w:rsid w:val="00705AD9"/>
    <w:rsid w:val="0070646C"/>
    <w:rsid w:val="007064FD"/>
    <w:rsid w:val="007066F2"/>
    <w:rsid w:val="0070686B"/>
    <w:rsid w:val="00706A6E"/>
    <w:rsid w:val="007079D1"/>
    <w:rsid w:val="00707D54"/>
    <w:rsid w:val="007111CD"/>
    <w:rsid w:val="007112F5"/>
    <w:rsid w:val="007131CD"/>
    <w:rsid w:val="00713476"/>
    <w:rsid w:val="00713DD6"/>
    <w:rsid w:val="00714106"/>
    <w:rsid w:val="00715722"/>
    <w:rsid w:val="007164A5"/>
    <w:rsid w:val="00716BCF"/>
    <w:rsid w:val="007170B3"/>
    <w:rsid w:val="007171A9"/>
    <w:rsid w:val="007173CB"/>
    <w:rsid w:val="007177D7"/>
    <w:rsid w:val="00717866"/>
    <w:rsid w:val="00717967"/>
    <w:rsid w:val="00717B42"/>
    <w:rsid w:val="00717C31"/>
    <w:rsid w:val="0072007D"/>
    <w:rsid w:val="007201EA"/>
    <w:rsid w:val="007203A3"/>
    <w:rsid w:val="00721B67"/>
    <w:rsid w:val="00722F48"/>
    <w:rsid w:val="00724B2A"/>
    <w:rsid w:val="00725796"/>
    <w:rsid w:val="007268A4"/>
    <w:rsid w:val="00726F2B"/>
    <w:rsid w:val="0072780E"/>
    <w:rsid w:val="00730161"/>
    <w:rsid w:val="007308E0"/>
    <w:rsid w:val="00731901"/>
    <w:rsid w:val="007324A0"/>
    <w:rsid w:val="00732E41"/>
    <w:rsid w:val="00732E9B"/>
    <w:rsid w:val="007333D3"/>
    <w:rsid w:val="0073365A"/>
    <w:rsid w:val="00733D7A"/>
    <w:rsid w:val="007341A4"/>
    <w:rsid w:val="00735166"/>
    <w:rsid w:val="007355E4"/>
    <w:rsid w:val="007357EE"/>
    <w:rsid w:val="00735DB3"/>
    <w:rsid w:val="007360B9"/>
    <w:rsid w:val="00737094"/>
    <w:rsid w:val="0074058C"/>
    <w:rsid w:val="00740943"/>
    <w:rsid w:val="0074098C"/>
    <w:rsid w:val="00741020"/>
    <w:rsid w:val="007412BC"/>
    <w:rsid w:val="00741CD7"/>
    <w:rsid w:val="007420F1"/>
    <w:rsid w:val="00742586"/>
    <w:rsid w:val="00742B5D"/>
    <w:rsid w:val="00743461"/>
    <w:rsid w:val="0074434C"/>
    <w:rsid w:val="00744391"/>
    <w:rsid w:val="007452AB"/>
    <w:rsid w:val="00745453"/>
    <w:rsid w:val="00745A75"/>
    <w:rsid w:val="00745C99"/>
    <w:rsid w:val="00746876"/>
    <w:rsid w:val="007475FD"/>
    <w:rsid w:val="00747929"/>
    <w:rsid w:val="00747C61"/>
    <w:rsid w:val="00747F2C"/>
    <w:rsid w:val="0075000D"/>
    <w:rsid w:val="00751E7C"/>
    <w:rsid w:val="00752745"/>
    <w:rsid w:val="00753193"/>
    <w:rsid w:val="00753B91"/>
    <w:rsid w:val="007543A9"/>
    <w:rsid w:val="007548FE"/>
    <w:rsid w:val="00754C14"/>
    <w:rsid w:val="00754E4E"/>
    <w:rsid w:val="00755B41"/>
    <w:rsid w:val="007568AE"/>
    <w:rsid w:val="00756C72"/>
    <w:rsid w:val="00756F43"/>
    <w:rsid w:val="0075724F"/>
    <w:rsid w:val="00757861"/>
    <w:rsid w:val="007578A7"/>
    <w:rsid w:val="007578D1"/>
    <w:rsid w:val="007579B3"/>
    <w:rsid w:val="00757B89"/>
    <w:rsid w:val="00757BE3"/>
    <w:rsid w:val="00757E1F"/>
    <w:rsid w:val="00757F04"/>
    <w:rsid w:val="00760188"/>
    <w:rsid w:val="0076055C"/>
    <w:rsid w:val="00760BA9"/>
    <w:rsid w:val="00762392"/>
    <w:rsid w:val="00762516"/>
    <w:rsid w:val="00762DF9"/>
    <w:rsid w:val="00763DE7"/>
    <w:rsid w:val="00764338"/>
    <w:rsid w:val="0076438A"/>
    <w:rsid w:val="007643AD"/>
    <w:rsid w:val="007645C3"/>
    <w:rsid w:val="00764EF0"/>
    <w:rsid w:val="00764FDB"/>
    <w:rsid w:val="00765D0D"/>
    <w:rsid w:val="00765E59"/>
    <w:rsid w:val="00765F55"/>
    <w:rsid w:val="0076696B"/>
    <w:rsid w:val="00766970"/>
    <w:rsid w:val="00767654"/>
    <w:rsid w:val="00767B2B"/>
    <w:rsid w:val="00771663"/>
    <w:rsid w:val="007717F4"/>
    <w:rsid w:val="007719C5"/>
    <w:rsid w:val="00771C24"/>
    <w:rsid w:val="0077211A"/>
    <w:rsid w:val="00772465"/>
    <w:rsid w:val="00772D6D"/>
    <w:rsid w:val="00772F64"/>
    <w:rsid w:val="00772FA3"/>
    <w:rsid w:val="007730B2"/>
    <w:rsid w:val="00773A2B"/>
    <w:rsid w:val="00773FF0"/>
    <w:rsid w:val="007741B6"/>
    <w:rsid w:val="007745C1"/>
    <w:rsid w:val="007752AE"/>
    <w:rsid w:val="00775BAE"/>
    <w:rsid w:val="00775DEB"/>
    <w:rsid w:val="0077646E"/>
    <w:rsid w:val="00776609"/>
    <w:rsid w:val="00776921"/>
    <w:rsid w:val="00777B34"/>
    <w:rsid w:val="00777C43"/>
    <w:rsid w:val="00780199"/>
    <w:rsid w:val="0078146B"/>
    <w:rsid w:val="00783066"/>
    <w:rsid w:val="00783508"/>
    <w:rsid w:val="00783AC8"/>
    <w:rsid w:val="00783FFB"/>
    <w:rsid w:val="00784FA1"/>
    <w:rsid w:val="0078509F"/>
    <w:rsid w:val="00785A43"/>
    <w:rsid w:val="0078602D"/>
    <w:rsid w:val="00786340"/>
    <w:rsid w:val="00786D65"/>
    <w:rsid w:val="00787375"/>
    <w:rsid w:val="00790017"/>
    <w:rsid w:val="00790173"/>
    <w:rsid w:val="007906A4"/>
    <w:rsid w:val="00790A29"/>
    <w:rsid w:val="00790AB2"/>
    <w:rsid w:val="00790CF0"/>
    <w:rsid w:val="0079112D"/>
    <w:rsid w:val="00793287"/>
    <w:rsid w:val="00793645"/>
    <w:rsid w:val="00793BD2"/>
    <w:rsid w:val="00794673"/>
    <w:rsid w:val="0079477D"/>
    <w:rsid w:val="00794D7D"/>
    <w:rsid w:val="00795001"/>
    <w:rsid w:val="007962F1"/>
    <w:rsid w:val="0079638F"/>
    <w:rsid w:val="00796CC0"/>
    <w:rsid w:val="007A054D"/>
    <w:rsid w:val="007A07FE"/>
    <w:rsid w:val="007A0A61"/>
    <w:rsid w:val="007A0D44"/>
    <w:rsid w:val="007A12F3"/>
    <w:rsid w:val="007A23B2"/>
    <w:rsid w:val="007A248F"/>
    <w:rsid w:val="007A25C5"/>
    <w:rsid w:val="007A2E31"/>
    <w:rsid w:val="007A34FA"/>
    <w:rsid w:val="007A41AB"/>
    <w:rsid w:val="007A4494"/>
    <w:rsid w:val="007A4A13"/>
    <w:rsid w:val="007A504C"/>
    <w:rsid w:val="007A55AD"/>
    <w:rsid w:val="007A6485"/>
    <w:rsid w:val="007A6B49"/>
    <w:rsid w:val="007A6B6B"/>
    <w:rsid w:val="007A6D42"/>
    <w:rsid w:val="007A7C3E"/>
    <w:rsid w:val="007B0364"/>
    <w:rsid w:val="007B0399"/>
    <w:rsid w:val="007B041B"/>
    <w:rsid w:val="007B0CC6"/>
    <w:rsid w:val="007B0D29"/>
    <w:rsid w:val="007B0FC5"/>
    <w:rsid w:val="007B10BF"/>
    <w:rsid w:val="007B14DA"/>
    <w:rsid w:val="007B1A8C"/>
    <w:rsid w:val="007B2246"/>
    <w:rsid w:val="007B2377"/>
    <w:rsid w:val="007B2803"/>
    <w:rsid w:val="007B290C"/>
    <w:rsid w:val="007B29DF"/>
    <w:rsid w:val="007B31BE"/>
    <w:rsid w:val="007B38B2"/>
    <w:rsid w:val="007B39CC"/>
    <w:rsid w:val="007B3E1B"/>
    <w:rsid w:val="007B439B"/>
    <w:rsid w:val="007B4438"/>
    <w:rsid w:val="007B5189"/>
    <w:rsid w:val="007B5858"/>
    <w:rsid w:val="007B6147"/>
    <w:rsid w:val="007B6281"/>
    <w:rsid w:val="007B68BA"/>
    <w:rsid w:val="007B7368"/>
    <w:rsid w:val="007C026A"/>
    <w:rsid w:val="007C1714"/>
    <w:rsid w:val="007C2E50"/>
    <w:rsid w:val="007C3AEA"/>
    <w:rsid w:val="007C3D85"/>
    <w:rsid w:val="007C4129"/>
    <w:rsid w:val="007C428E"/>
    <w:rsid w:val="007C4459"/>
    <w:rsid w:val="007C4F19"/>
    <w:rsid w:val="007C59EF"/>
    <w:rsid w:val="007C6319"/>
    <w:rsid w:val="007C6848"/>
    <w:rsid w:val="007C6924"/>
    <w:rsid w:val="007C6FAF"/>
    <w:rsid w:val="007C7112"/>
    <w:rsid w:val="007D0600"/>
    <w:rsid w:val="007D0F23"/>
    <w:rsid w:val="007D14DA"/>
    <w:rsid w:val="007D181C"/>
    <w:rsid w:val="007D269D"/>
    <w:rsid w:val="007D26D6"/>
    <w:rsid w:val="007D2FBD"/>
    <w:rsid w:val="007D398F"/>
    <w:rsid w:val="007D3B00"/>
    <w:rsid w:val="007D3BF8"/>
    <w:rsid w:val="007D4AB2"/>
    <w:rsid w:val="007D525E"/>
    <w:rsid w:val="007D53FD"/>
    <w:rsid w:val="007D6372"/>
    <w:rsid w:val="007D68A5"/>
    <w:rsid w:val="007D6EAB"/>
    <w:rsid w:val="007D6F80"/>
    <w:rsid w:val="007D7221"/>
    <w:rsid w:val="007D7703"/>
    <w:rsid w:val="007D77BE"/>
    <w:rsid w:val="007E11D5"/>
    <w:rsid w:val="007E12A8"/>
    <w:rsid w:val="007E1581"/>
    <w:rsid w:val="007E1858"/>
    <w:rsid w:val="007E19A4"/>
    <w:rsid w:val="007E1A91"/>
    <w:rsid w:val="007E2C1D"/>
    <w:rsid w:val="007E2F7F"/>
    <w:rsid w:val="007E31C2"/>
    <w:rsid w:val="007E323A"/>
    <w:rsid w:val="007E34FD"/>
    <w:rsid w:val="007E399D"/>
    <w:rsid w:val="007E3FB5"/>
    <w:rsid w:val="007E4B16"/>
    <w:rsid w:val="007E4CB8"/>
    <w:rsid w:val="007E54B7"/>
    <w:rsid w:val="007E5ADC"/>
    <w:rsid w:val="007E5BE2"/>
    <w:rsid w:val="007E6F7A"/>
    <w:rsid w:val="007E7155"/>
    <w:rsid w:val="007E748C"/>
    <w:rsid w:val="007E772C"/>
    <w:rsid w:val="007E7C39"/>
    <w:rsid w:val="007E7CD6"/>
    <w:rsid w:val="007F0004"/>
    <w:rsid w:val="007F162D"/>
    <w:rsid w:val="007F1F0F"/>
    <w:rsid w:val="007F200F"/>
    <w:rsid w:val="007F2821"/>
    <w:rsid w:val="007F3979"/>
    <w:rsid w:val="007F3E5D"/>
    <w:rsid w:val="007F3EAB"/>
    <w:rsid w:val="007F4006"/>
    <w:rsid w:val="007F4A1C"/>
    <w:rsid w:val="007F5473"/>
    <w:rsid w:val="007F65EB"/>
    <w:rsid w:val="007F660D"/>
    <w:rsid w:val="007F746D"/>
    <w:rsid w:val="00800278"/>
    <w:rsid w:val="00800FBB"/>
    <w:rsid w:val="008010A0"/>
    <w:rsid w:val="008010F7"/>
    <w:rsid w:val="0080123C"/>
    <w:rsid w:val="00802D0E"/>
    <w:rsid w:val="00803687"/>
    <w:rsid w:val="00804054"/>
    <w:rsid w:val="008041FA"/>
    <w:rsid w:val="008042B5"/>
    <w:rsid w:val="00804994"/>
    <w:rsid w:val="00804BA8"/>
    <w:rsid w:val="0080534B"/>
    <w:rsid w:val="00805D90"/>
    <w:rsid w:val="008062CA"/>
    <w:rsid w:val="00806880"/>
    <w:rsid w:val="00807485"/>
    <w:rsid w:val="0081026A"/>
    <w:rsid w:val="008106C8"/>
    <w:rsid w:val="00810826"/>
    <w:rsid w:val="00810FA4"/>
    <w:rsid w:val="008110A9"/>
    <w:rsid w:val="008116DE"/>
    <w:rsid w:val="00811C1D"/>
    <w:rsid w:val="00811D1A"/>
    <w:rsid w:val="008124FB"/>
    <w:rsid w:val="0081273D"/>
    <w:rsid w:val="00812B21"/>
    <w:rsid w:val="00812FFA"/>
    <w:rsid w:val="008139F1"/>
    <w:rsid w:val="00813AC8"/>
    <w:rsid w:val="00814EEA"/>
    <w:rsid w:val="00815731"/>
    <w:rsid w:val="00815DD1"/>
    <w:rsid w:val="00816A48"/>
    <w:rsid w:val="00816D45"/>
    <w:rsid w:val="00816E2E"/>
    <w:rsid w:val="00817076"/>
    <w:rsid w:val="008172F4"/>
    <w:rsid w:val="00817552"/>
    <w:rsid w:val="00820268"/>
    <w:rsid w:val="008202E3"/>
    <w:rsid w:val="008206AE"/>
    <w:rsid w:val="00820A3F"/>
    <w:rsid w:val="0082109A"/>
    <w:rsid w:val="008218B9"/>
    <w:rsid w:val="00822A4A"/>
    <w:rsid w:val="0082360C"/>
    <w:rsid w:val="008236BF"/>
    <w:rsid w:val="00823DE5"/>
    <w:rsid w:val="00824323"/>
    <w:rsid w:val="008248AD"/>
    <w:rsid w:val="00824A15"/>
    <w:rsid w:val="00824E56"/>
    <w:rsid w:val="0082641B"/>
    <w:rsid w:val="00826880"/>
    <w:rsid w:val="008269DC"/>
    <w:rsid w:val="008277ED"/>
    <w:rsid w:val="00827D95"/>
    <w:rsid w:val="008300E6"/>
    <w:rsid w:val="008304E8"/>
    <w:rsid w:val="0083080F"/>
    <w:rsid w:val="00830A7F"/>
    <w:rsid w:val="00830D22"/>
    <w:rsid w:val="00831C60"/>
    <w:rsid w:val="00831D86"/>
    <w:rsid w:val="00832312"/>
    <w:rsid w:val="008326DA"/>
    <w:rsid w:val="00832936"/>
    <w:rsid w:val="00832B63"/>
    <w:rsid w:val="00832BC1"/>
    <w:rsid w:val="00833BCD"/>
    <w:rsid w:val="00834B4E"/>
    <w:rsid w:val="00834D84"/>
    <w:rsid w:val="0083655B"/>
    <w:rsid w:val="008365E3"/>
    <w:rsid w:val="00836BF5"/>
    <w:rsid w:val="008377B5"/>
    <w:rsid w:val="008378AE"/>
    <w:rsid w:val="00837A79"/>
    <w:rsid w:val="00837BB2"/>
    <w:rsid w:val="00837E37"/>
    <w:rsid w:val="00837EDE"/>
    <w:rsid w:val="00837FCF"/>
    <w:rsid w:val="008405D6"/>
    <w:rsid w:val="008419C2"/>
    <w:rsid w:val="00841B24"/>
    <w:rsid w:val="00841EBD"/>
    <w:rsid w:val="00841FCF"/>
    <w:rsid w:val="0084287B"/>
    <w:rsid w:val="008439FB"/>
    <w:rsid w:val="00844930"/>
    <w:rsid w:val="0084502E"/>
    <w:rsid w:val="00845237"/>
    <w:rsid w:val="00845391"/>
    <w:rsid w:val="00845FEC"/>
    <w:rsid w:val="00846445"/>
    <w:rsid w:val="00846EB3"/>
    <w:rsid w:val="00847415"/>
    <w:rsid w:val="008475EE"/>
    <w:rsid w:val="00847A6F"/>
    <w:rsid w:val="008506C7"/>
    <w:rsid w:val="00850D53"/>
    <w:rsid w:val="0085212A"/>
    <w:rsid w:val="0085267E"/>
    <w:rsid w:val="00852F96"/>
    <w:rsid w:val="00853AB0"/>
    <w:rsid w:val="00853D13"/>
    <w:rsid w:val="00853F46"/>
    <w:rsid w:val="00854587"/>
    <w:rsid w:val="00854700"/>
    <w:rsid w:val="00854D9E"/>
    <w:rsid w:val="00855173"/>
    <w:rsid w:val="00855340"/>
    <w:rsid w:val="008559D6"/>
    <w:rsid w:val="00855BDB"/>
    <w:rsid w:val="008561BF"/>
    <w:rsid w:val="0085639F"/>
    <w:rsid w:val="00856FBD"/>
    <w:rsid w:val="008576BC"/>
    <w:rsid w:val="00857897"/>
    <w:rsid w:val="008578AC"/>
    <w:rsid w:val="00861285"/>
    <w:rsid w:val="008612CA"/>
    <w:rsid w:val="0086172E"/>
    <w:rsid w:val="0086250E"/>
    <w:rsid w:val="008648E6"/>
    <w:rsid w:val="00864946"/>
    <w:rsid w:val="0086532F"/>
    <w:rsid w:val="00865689"/>
    <w:rsid w:val="00865803"/>
    <w:rsid w:val="00865C80"/>
    <w:rsid w:val="00865C94"/>
    <w:rsid w:val="00866E65"/>
    <w:rsid w:val="0086733E"/>
    <w:rsid w:val="008678F9"/>
    <w:rsid w:val="00867A19"/>
    <w:rsid w:val="00870074"/>
    <w:rsid w:val="0087026E"/>
    <w:rsid w:val="008708F4"/>
    <w:rsid w:val="00870960"/>
    <w:rsid w:val="00871513"/>
    <w:rsid w:val="00871A94"/>
    <w:rsid w:val="00873436"/>
    <w:rsid w:val="008735C6"/>
    <w:rsid w:val="00873ABF"/>
    <w:rsid w:val="00874D90"/>
    <w:rsid w:val="00874E92"/>
    <w:rsid w:val="00874ECA"/>
    <w:rsid w:val="0087587E"/>
    <w:rsid w:val="00875B7E"/>
    <w:rsid w:val="00876437"/>
    <w:rsid w:val="0087654B"/>
    <w:rsid w:val="00876AF6"/>
    <w:rsid w:val="00876EC8"/>
    <w:rsid w:val="00877C78"/>
    <w:rsid w:val="00877FAA"/>
    <w:rsid w:val="0088028C"/>
    <w:rsid w:val="00880B8E"/>
    <w:rsid w:val="00880D4D"/>
    <w:rsid w:val="00880F6F"/>
    <w:rsid w:val="0088164C"/>
    <w:rsid w:val="008829D6"/>
    <w:rsid w:val="00882B9F"/>
    <w:rsid w:val="00882C86"/>
    <w:rsid w:val="00883138"/>
    <w:rsid w:val="00883621"/>
    <w:rsid w:val="008836AE"/>
    <w:rsid w:val="00883A47"/>
    <w:rsid w:val="00883AC5"/>
    <w:rsid w:val="0088407E"/>
    <w:rsid w:val="00885F01"/>
    <w:rsid w:val="0088636C"/>
    <w:rsid w:val="008866AF"/>
    <w:rsid w:val="00886A98"/>
    <w:rsid w:val="00886CB3"/>
    <w:rsid w:val="0088750C"/>
    <w:rsid w:val="0089029F"/>
    <w:rsid w:val="008916B8"/>
    <w:rsid w:val="00891B6C"/>
    <w:rsid w:val="008921F6"/>
    <w:rsid w:val="00892646"/>
    <w:rsid w:val="00892B0F"/>
    <w:rsid w:val="00892C80"/>
    <w:rsid w:val="00893389"/>
    <w:rsid w:val="008936B6"/>
    <w:rsid w:val="00893E1B"/>
    <w:rsid w:val="00895300"/>
    <w:rsid w:val="00895519"/>
    <w:rsid w:val="00896D58"/>
    <w:rsid w:val="0089718E"/>
    <w:rsid w:val="00897455"/>
    <w:rsid w:val="008978A5"/>
    <w:rsid w:val="008A1278"/>
    <w:rsid w:val="008A1E6C"/>
    <w:rsid w:val="008A20ED"/>
    <w:rsid w:val="008A24DA"/>
    <w:rsid w:val="008A2D9A"/>
    <w:rsid w:val="008A2FD7"/>
    <w:rsid w:val="008A3E43"/>
    <w:rsid w:val="008A3ED2"/>
    <w:rsid w:val="008A4345"/>
    <w:rsid w:val="008A4CF9"/>
    <w:rsid w:val="008A5160"/>
    <w:rsid w:val="008A52DE"/>
    <w:rsid w:val="008A67E5"/>
    <w:rsid w:val="008A6999"/>
    <w:rsid w:val="008A6CFF"/>
    <w:rsid w:val="008A6DF7"/>
    <w:rsid w:val="008A73AB"/>
    <w:rsid w:val="008A7C44"/>
    <w:rsid w:val="008B027E"/>
    <w:rsid w:val="008B057F"/>
    <w:rsid w:val="008B1067"/>
    <w:rsid w:val="008B1187"/>
    <w:rsid w:val="008B1298"/>
    <w:rsid w:val="008B1421"/>
    <w:rsid w:val="008B14AF"/>
    <w:rsid w:val="008B1762"/>
    <w:rsid w:val="008B1A9A"/>
    <w:rsid w:val="008B29EE"/>
    <w:rsid w:val="008B2AC2"/>
    <w:rsid w:val="008B35A0"/>
    <w:rsid w:val="008B38BC"/>
    <w:rsid w:val="008B3AB7"/>
    <w:rsid w:val="008B3FCE"/>
    <w:rsid w:val="008B3FD1"/>
    <w:rsid w:val="008B40A4"/>
    <w:rsid w:val="008B4643"/>
    <w:rsid w:val="008B6A70"/>
    <w:rsid w:val="008B6ED9"/>
    <w:rsid w:val="008B6FE8"/>
    <w:rsid w:val="008B7704"/>
    <w:rsid w:val="008B794C"/>
    <w:rsid w:val="008B7D92"/>
    <w:rsid w:val="008C00DB"/>
    <w:rsid w:val="008C0620"/>
    <w:rsid w:val="008C0AE7"/>
    <w:rsid w:val="008C0B0C"/>
    <w:rsid w:val="008C11EB"/>
    <w:rsid w:val="008C1EE1"/>
    <w:rsid w:val="008C3983"/>
    <w:rsid w:val="008C3FF0"/>
    <w:rsid w:val="008C4B44"/>
    <w:rsid w:val="008C5278"/>
    <w:rsid w:val="008C58B5"/>
    <w:rsid w:val="008C5E88"/>
    <w:rsid w:val="008C651D"/>
    <w:rsid w:val="008C68AF"/>
    <w:rsid w:val="008C734A"/>
    <w:rsid w:val="008C7A24"/>
    <w:rsid w:val="008C7E0E"/>
    <w:rsid w:val="008D0A40"/>
    <w:rsid w:val="008D2F85"/>
    <w:rsid w:val="008D360F"/>
    <w:rsid w:val="008D39FB"/>
    <w:rsid w:val="008D3BF9"/>
    <w:rsid w:val="008D43DC"/>
    <w:rsid w:val="008D4A75"/>
    <w:rsid w:val="008D5692"/>
    <w:rsid w:val="008D619F"/>
    <w:rsid w:val="008D680F"/>
    <w:rsid w:val="008D6FC5"/>
    <w:rsid w:val="008D7BBE"/>
    <w:rsid w:val="008E0464"/>
    <w:rsid w:val="008E055A"/>
    <w:rsid w:val="008E1F31"/>
    <w:rsid w:val="008E2E7D"/>
    <w:rsid w:val="008E41C2"/>
    <w:rsid w:val="008E4621"/>
    <w:rsid w:val="008E58AC"/>
    <w:rsid w:val="008E5A3C"/>
    <w:rsid w:val="008E5C25"/>
    <w:rsid w:val="008E64A5"/>
    <w:rsid w:val="008E7B79"/>
    <w:rsid w:val="008E7D83"/>
    <w:rsid w:val="008F0660"/>
    <w:rsid w:val="008F120B"/>
    <w:rsid w:val="008F124B"/>
    <w:rsid w:val="008F1E55"/>
    <w:rsid w:val="008F21F6"/>
    <w:rsid w:val="008F231E"/>
    <w:rsid w:val="008F259B"/>
    <w:rsid w:val="008F2A98"/>
    <w:rsid w:val="008F2D1A"/>
    <w:rsid w:val="008F324E"/>
    <w:rsid w:val="008F33E1"/>
    <w:rsid w:val="008F36E5"/>
    <w:rsid w:val="008F38BA"/>
    <w:rsid w:val="008F400A"/>
    <w:rsid w:val="008F44D0"/>
    <w:rsid w:val="008F4545"/>
    <w:rsid w:val="008F4B41"/>
    <w:rsid w:val="008F4F28"/>
    <w:rsid w:val="008F56DD"/>
    <w:rsid w:val="008F7737"/>
    <w:rsid w:val="009005DC"/>
    <w:rsid w:val="00900CD1"/>
    <w:rsid w:val="00901052"/>
    <w:rsid w:val="00901350"/>
    <w:rsid w:val="009017C4"/>
    <w:rsid w:val="0090180B"/>
    <w:rsid w:val="00901E64"/>
    <w:rsid w:val="009020BC"/>
    <w:rsid w:val="00902633"/>
    <w:rsid w:val="00902D52"/>
    <w:rsid w:val="00902D68"/>
    <w:rsid w:val="00902F12"/>
    <w:rsid w:val="0090329B"/>
    <w:rsid w:val="0090333D"/>
    <w:rsid w:val="009037F6"/>
    <w:rsid w:val="009038AD"/>
    <w:rsid w:val="00903915"/>
    <w:rsid w:val="00903A22"/>
    <w:rsid w:val="00904360"/>
    <w:rsid w:val="00904A26"/>
    <w:rsid w:val="00904F86"/>
    <w:rsid w:val="009050D2"/>
    <w:rsid w:val="0090575B"/>
    <w:rsid w:val="00905E42"/>
    <w:rsid w:val="009064D9"/>
    <w:rsid w:val="00906795"/>
    <w:rsid w:val="00906F9C"/>
    <w:rsid w:val="0090703A"/>
    <w:rsid w:val="00907688"/>
    <w:rsid w:val="00907FFE"/>
    <w:rsid w:val="00910D38"/>
    <w:rsid w:val="0091123A"/>
    <w:rsid w:val="009112C4"/>
    <w:rsid w:val="00911733"/>
    <w:rsid w:val="009118E6"/>
    <w:rsid w:val="009121E4"/>
    <w:rsid w:val="00912ACA"/>
    <w:rsid w:val="00912B13"/>
    <w:rsid w:val="00912EA8"/>
    <w:rsid w:val="00913241"/>
    <w:rsid w:val="00914C4B"/>
    <w:rsid w:val="00915269"/>
    <w:rsid w:val="00915726"/>
    <w:rsid w:val="00915AC3"/>
    <w:rsid w:val="00915F29"/>
    <w:rsid w:val="009160DD"/>
    <w:rsid w:val="009165D3"/>
    <w:rsid w:val="00916938"/>
    <w:rsid w:val="00916B2A"/>
    <w:rsid w:val="00917129"/>
    <w:rsid w:val="009171AB"/>
    <w:rsid w:val="009176E3"/>
    <w:rsid w:val="0092046E"/>
    <w:rsid w:val="00921716"/>
    <w:rsid w:val="009220D4"/>
    <w:rsid w:val="00922391"/>
    <w:rsid w:val="00923858"/>
    <w:rsid w:val="00923AFB"/>
    <w:rsid w:val="0092562B"/>
    <w:rsid w:val="009256AA"/>
    <w:rsid w:val="009259A3"/>
    <w:rsid w:val="00927125"/>
    <w:rsid w:val="0092773B"/>
    <w:rsid w:val="00927C5F"/>
    <w:rsid w:val="009305AC"/>
    <w:rsid w:val="00930A28"/>
    <w:rsid w:val="00930C23"/>
    <w:rsid w:val="00930D3A"/>
    <w:rsid w:val="00930F0C"/>
    <w:rsid w:val="009310BC"/>
    <w:rsid w:val="00931337"/>
    <w:rsid w:val="009313B7"/>
    <w:rsid w:val="009318C4"/>
    <w:rsid w:val="00932804"/>
    <w:rsid w:val="00933777"/>
    <w:rsid w:val="00934A54"/>
    <w:rsid w:val="00935362"/>
    <w:rsid w:val="009359A6"/>
    <w:rsid w:val="009361BA"/>
    <w:rsid w:val="00936301"/>
    <w:rsid w:val="00936421"/>
    <w:rsid w:val="00936EB6"/>
    <w:rsid w:val="00937509"/>
    <w:rsid w:val="00937CFA"/>
    <w:rsid w:val="0094038A"/>
    <w:rsid w:val="0094041D"/>
    <w:rsid w:val="009406BF"/>
    <w:rsid w:val="00940A1F"/>
    <w:rsid w:val="00940D62"/>
    <w:rsid w:val="00941761"/>
    <w:rsid w:val="00941E01"/>
    <w:rsid w:val="00941FE3"/>
    <w:rsid w:val="00942276"/>
    <w:rsid w:val="009429D4"/>
    <w:rsid w:val="00942C9A"/>
    <w:rsid w:val="00942D5C"/>
    <w:rsid w:val="00943431"/>
    <w:rsid w:val="00943AA0"/>
    <w:rsid w:val="00943D8C"/>
    <w:rsid w:val="0094410F"/>
    <w:rsid w:val="00944173"/>
    <w:rsid w:val="009441EC"/>
    <w:rsid w:val="009445E3"/>
    <w:rsid w:val="00944755"/>
    <w:rsid w:val="00944927"/>
    <w:rsid w:val="00944BE6"/>
    <w:rsid w:val="00945132"/>
    <w:rsid w:val="00945A5F"/>
    <w:rsid w:val="00946BAC"/>
    <w:rsid w:val="00946D87"/>
    <w:rsid w:val="00947062"/>
    <w:rsid w:val="00947281"/>
    <w:rsid w:val="00947413"/>
    <w:rsid w:val="00950B87"/>
    <w:rsid w:val="00950C09"/>
    <w:rsid w:val="0095102A"/>
    <w:rsid w:val="009516D1"/>
    <w:rsid w:val="00952B25"/>
    <w:rsid w:val="00952E6F"/>
    <w:rsid w:val="009530DA"/>
    <w:rsid w:val="00954219"/>
    <w:rsid w:val="00955341"/>
    <w:rsid w:val="009553B4"/>
    <w:rsid w:val="0095598D"/>
    <w:rsid w:val="00955A31"/>
    <w:rsid w:val="009571C6"/>
    <w:rsid w:val="0095728A"/>
    <w:rsid w:val="009577F2"/>
    <w:rsid w:val="00960058"/>
    <w:rsid w:val="00960264"/>
    <w:rsid w:val="0096051E"/>
    <w:rsid w:val="00960DB4"/>
    <w:rsid w:val="0096211F"/>
    <w:rsid w:val="00962469"/>
    <w:rsid w:val="009624D1"/>
    <w:rsid w:val="00962F52"/>
    <w:rsid w:val="00962FE9"/>
    <w:rsid w:val="0096322A"/>
    <w:rsid w:val="00963561"/>
    <w:rsid w:val="009649AA"/>
    <w:rsid w:val="00965125"/>
    <w:rsid w:val="00965758"/>
    <w:rsid w:val="00965D8C"/>
    <w:rsid w:val="0096701D"/>
    <w:rsid w:val="009671B3"/>
    <w:rsid w:val="00967593"/>
    <w:rsid w:val="00967AF7"/>
    <w:rsid w:val="00967C7D"/>
    <w:rsid w:val="00967EB0"/>
    <w:rsid w:val="00970218"/>
    <w:rsid w:val="00970473"/>
    <w:rsid w:val="0097056F"/>
    <w:rsid w:val="009707B7"/>
    <w:rsid w:val="00970A58"/>
    <w:rsid w:val="00970B07"/>
    <w:rsid w:val="0097132C"/>
    <w:rsid w:val="00971C52"/>
    <w:rsid w:val="009722D8"/>
    <w:rsid w:val="00972475"/>
    <w:rsid w:val="00972790"/>
    <w:rsid w:val="00972C40"/>
    <w:rsid w:val="0097323C"/>
    <w:rsid w:val="00973E62"/>
    <w:rsid w:val="0097444A"/>
    <w:rsid w:val="00974CDF"/>
    <w:rsid w:val="00975271"/>
    <w:rsid w:val="009754D7"/>
    <w:rsid w:val="009756EE"/>
    <w:rsid w:val="00975F9F"/>
    <w:rsid w:val="00976169"/>
    <w:rsid w:val="00977177"/>
    <w:rsid w:val="009772F4"/>
    <w:rsid w:val="00977611"/>
    <w:rsid w:val="00977F71"/>
    <w:rsid w:val="00977FE0"/>
    <w:rsid w:val="00980337"/>
    <w:rsid w:val="0098051A"/>
    <w:rsid w:val="00981434"/>
    <w:rsid w:val="009832D7"/>
    <w:rsid w:val="00983311"/>
    <w:rsid w:val="00983F9E"/>
    <w:rsid w:val="009842D0"/>
    <w:rsid w:val="009844CE"/>
    <w:rsid w:val="0098485F"/>
    <w:rsid w:val="0098489E"/>
    <w:rsid w:val="00984E7B"/>
    <w:rsid w:val="00984E9D"/>
    <w:rsid w:val="009852C0"/>
    <w:rsid w:val="0098530F"/>
    <w:rsid w:val="0098601B"/>
    <w:rsid w:val="00986233"/>
    <w:rsid w:val="009863A8"/>
    <w:rsid w:val="009865D6"/>
    <w:rsid w:val="00986934"/>
    <w:rsid w:val="00986B15"/>
    <w:rsid w:val="00986E94"/>
    <w:rsid w:val="00986EA0"/>
    <w:rsid w:val="00986FEA"/>
    <w:rsid w:val="00987066"/>
    <w:rsid w:val="00987163"/>
    <w:rsid w:val="009872D8"/>
    <w:rsid w:val="009874C3"/>
    <w:rsid w:val="009875D1"/>
    <w:rsid w:val="0098781E"/>
    <w:rsid w:val="009879CD"/>
    <w:rsid w:val="00990D11"/>
    <w:rsid w:val="00991BB7"/>
    <w:rsid w:val="00992354"/>
    <w:rsid w:val="009923A3"/>
    <w:rsid w:val="0099240F"/>
    <w:rsid w:val="0099255E"/>
    <w:rsid w:val="00992E60"/>
    <w:rsid w:val="0099303C"/>
    <w:rsid w:val="009939EE"/>
    <w:rsid w:val="00993C17"/>
    <w:rsid w:val="00995D14"/>
    <w:rsid w:val="00996682"/>
    <w:rsid w:val="0099683D"/>
    <w:rsid w:val="009968FD"/>
    <w:rsid w:val="00996955"/>
    <w:rsid w:val="009969E4"/>
    <w:rsid w:val="009971E2"/>
    <w:rsid w:val="00997BF5"/>
    <w:rsid w:val="009A0D12"/>
    <w:rsid w:val="009A2EA1"/>
    <w:rsid w:val="009A3193"/>
    <w:rsid w:val="009A34F5"/>
    <w:rsid w:val="009A384F"/>
    <w:rsid w:val="009A38AD"/>
    <w:rsid w:val="009A3DB0"/>
    <w:rsid w:val="009A3F79"/>
    <w:rsid w:val="009A4676"/>
    <w:rsid w:val="009A4861"/>
    <w:rsid w:val="009A63CE"/>
    <w:rsid w:val="009A693C"/>
    <w:rsid w:val="009A7342"/>
    <w:rsid w:val="009A7D3A"/>
    <w:rsid w:val="009B06D2"/>
    <w:rsid w:val="009B0856"/>
    <w:rsid w:val="009B19D3"/>
    <w:rsid w:val="009B326C"/>
    <w:rsid w:val="009B333B"/>
    <w:rsid w:val="009B386C"/>
    <w:rsid w:val="009B3A16"/>
    <w:rsid w:val="009B3B7B"/>
    <w:rsid w:val="009B4087"/>
    <w:rsid w:val="009B412B"/>
    <w:rsid w:val="009B42A0"/>
    <w:rsid w:val="009B437C"/>
    <w:rsid w:val="009B4992"/>
    <w:rsid w:val="009B4AAB"/>
    <w:rsid w:val="009B4DAD"/>
    <w:rsid w:val="009B50DD"/>
    <w:rsid w:val="009B51CD"/>
    <w:rsid w:val="009B6F8A"/>
    <w:rsid w:val="009B7B90"/>
    <w:rsid w:val="009C0464"/>
    <w:rsid w:val="009C0524"/>
    <w:rsid w:val="009C0775"/>
    <w:rsid w:val="009C0A4F"/>
    <w:rsid w:val="009C0CDB"/>
    <w:rsid w:val="009C0DDF"/>
    <w:rsid w:val="009C223C"/>
    <w:rsid w:val="009C2275"/>
    <w:rsid w:val="009C234E"/>
    <w:rsid w:val="009C2782"/>
    <w:rsid w:val="009C27E4"/>
    <w:rsid w:val="009C2D1D"/>
    <w:rsid w:val="009C30B2"/>
    <w:rsid w:val="009C3BAC"/>
    <w:rsid w:val="009C3F03"/>
    <w:rsid w:val="009C443A"/>
    <w:rsid w:val="009C4AD1"/>
    <w:rsid w:val="009C4E8E"/>
    <w:rsid w:val="009C537F"/>
    <w:rsid w:val="009C540F"/>
    <w:rsid w:val="009C545F"/>
    <w:rsid w:val="009C570A"/>
    <w:rsid w:val="009C64C4"/>
    <w:rsid w:val="009C68E8"/>
    <w:rsid w:val="009C6AC2"/>
    <w:rsid w:val="009C6DEF"/>
    <w:rsid w:val="009C6F55"/>
    <w:rsid w:val="009C704B"/>
    <w:rsid w:val="009C7DFB"/>
    <w:rsid w:val="009D06C8"/>
    <w:rsid w:val="009D0C81"/>
    <w:rsid w:val="009D0D5A"/>
    <w:rsid w:val="009D1B36"/>
    <w:rsid w:val="009D22EE"/>
    <w:rsid w:val="009D2DFC"/>
    <w:rsid w:val="009D2FDC"/>
    <w:rsid w:val="009D2FFA"/>
    <w:rsid w:val="009D30AC"/>
    <w:rsid w:val="009D3220"/>
    <w:rsid w:val="009D354A"/>
    <w:rsid w:val="009D4B68"/>
    <w:rsid w:val="009D563E"/>
    <w:rsid w:val="009D5D15"/>
    <w:rsid w:val="009D64B1"/>
    <w:rsid w:val="009D6636"/>
    <w:rsid w:val="009D6AF2"/>
    <w:rsid w:val="009D6CFD"/>
    <w:rsid w:val="009D7114"/>
    <w:rsid w:val="009D716D"/>
    <w:rsid w:val="009D74DA"/>
    <w:rsid w:val="009D77D7"/>
    <w:rsid w:val="009E0128"/>
    <w:rsid w:val="009E012D"/>
    <w:rsid w:val="009E0AE8"/>
    <w:rsid w:val="009E1191"/>
    <w:rsid w:val="009E1238"/>
    <w:rsid w:val="009E1CD3"/>
    <w:rsid w:val="009E2C82"/>
    <w:rsid w:val="009E33C6"/>
    <w:rsid w:val="009E3A30"/>
    <w:rsid w:val="009E3F53"/>
    <w:rsid w:val="009E43D8"/>
    <w:rsid w:val="009E44BD"/>
    <w:rsid w:val="009E473F"/>
    <w:rsid w:val="009E6EF7"/>
    <w:rsid w:val="009F0457"/>
    <w:rsid w:val="009F1B79"/>
    <w:rsid w:val="009F2E82"/>
    <w:rsid w:val="009F2E96"/>
    <w:rsid w:val="009F30FB"/>
    <w:rsid w:val="009F3699"/>
    <w:rsid w:val="009F3F2A"/>
    <w:rsid w:val="009F4805"/>
    <w:rsid w:val="009F58CE"/>
    <w:rsid w:val="009F5A86"/>
    <w:rsid w:val="009F5CB4"/>
    <w:rsid w:val="009F61EC"/>
    <w:rsid w:val="009F6532"/>
    <w:rsid w:val="009F6D03"/>
    <w:rsid w:val="009F6F8D"/>
    <w:rsid w:val="009F79B9"/>
    <w:rsid w:val="00A00219"/>
    <w:rsid w:val="00A013B6"/>
    <w:rsid w:val="00A01535"/>
    <w:rsid w:val="00A015A7"/>
    <w:rsid w:val="00A01CD1"/>
    <w:rsid w:val="00A02653"/>
    <w:rsid w:val="00A03679"/>
    <w:rsid w:val="00A0423F"/>
    <w:rsid w:val="00A04240"/>
    <w:rsid w:val="00A044EE"/>
    <w:rsid w:val="00A05060"/>
    <w:rsid w:val="00A0620A"/>
    <w:rsid w:val="00A0657F"/>
    <w:rsid w:val="00A06E92"/>
    <w:rsid w:val="00A07885"/>
    <w:rsid w:val="00A07FB1"/>
    <w:rsid w:val="00A105CD"/>
    <w:rsid w:val="00A11126"/>
    <w:rsid w:val="00A112C7"/>
    <w:rsid w:val="00A11670"/>
    <w:rsid w:val="00A118C0"/>
    <w:rsid w:val="00A11A94"/>
    <w:rsid w:val="00A11D13"/>
    <w:rsid w:val="00A142D3"/>
    <w:rsid w:val="00A15506"/>
    <w:rsid w:val="00A15A20"/>
    <w:rsid w:val="00A15B4D"/>
    <w:rsid w:val="00A15F73"/>
    <w:rsid w:val="00A16A2D"/>
    <w:rsid w:val="00A16B4E"/>
    <w:rsid w:val="00A16CFB"/>
    <w:rsid w:val="00A177A6"/>
    <w:rsid w:val="00A17B3D"/>
    <w:rsid w:val="00A20389"/>
    <w:rsid w:val="00A2043F"/>
    <w:rsid w:val="00A209CB"/>
    <w:rsid w:val="00A20F78"/>
    <w:rsid w:val="00A214A6"/>
    <w:rsid w:val="00A214B6"/>
    <w:rsid w:val="00A21858"/>
    <w:rsid w:val="00A21B49"/>
    <w:rsid w:val="00A22791"/>
    <w:rsid w:val="00A22D07"/>
    <w:rsid w:val="00A239D2"/>
    <w:rsid w:val="00A240E4"/>
    <w:rsid w:val="00A248EA"/>
    <w:rsid w:val="00A24CA6"/>
    <w:rsid w:val="00A25095"/>
    <w:rsid w:val="00A25141"/>
    <w:rsid w:val="00A2558A"/>
    <w:rsid w:val="00A25763"/>
    <w:rsid w:val="00A25B02"/>
    <w:rsid w:val="00A25BFB"/>
    <w:rsid w:val="00A2651A"/>
    <w:rsid w:val="00A26609"/>
    <w:rsid w:val="00A26696"/>
    <w:rsid w:val="00A2736B"/>
    <w:rsid w:val="00A276A3"/>
    <w:rsid w:val="00A27700"/>
    <w:rsid w:val="00A27BDA"/>
    <w:rsid w:val="00A309F1"/>
    <w:rsid w:val="00A313B4"/>
    <w:rsid w:val="00A314B4"/>
    <w:rsid w:val="00A318C4"/>
    <w:rsid w:val="00A319C6"/>
    <w:rsid w:val="00A31C19"/>
    <w:rsid w:val="00A31DE3"/>
    <w:rsid w:val="00A32337"/>
    <w:rsid w:val="00A323DF"/>
    <w:rsid w:val="00A325C1"/>
    <w:rsid w:val="00A3307D"/>
    <w:rsid w:val="00A33983"/>
    <w:rsid w:val="00A33F19"/>
    <w:rsid w:val="00A3424D"/>
    <w:rsid w:val="00A34B34"/>
    <w:rsid w:val="00A35C4A"/>
    <w:rsid w:val="00A360C8"/>
    <w:rsid w:val="00A36F36"/>
    <w:rsid w:val="00A370D5"/>
    <w:rsid w:val="00A3764E"/>
    <w:rsid w:val="00A41AF2"/>
    <w:rsid w:val="00A41E77"/>
    <w:rsid w:val="00A42049"/>
    <w:rsid w:val="00A42AE9"/>
    <w:rsid w:val="00A42CF1"/>
    <w:rsid w:val="00A42D8E"/>
    <w:rsid w:val="00A43334"/>
    <w:rsid w:val="00A44587"/>
    <w:rsid w:val="00A453AD"/>
    <w:rsid w:val="00A45445"/>
    <w:rsid w:val="00A45636"/>
    <w:rsid w:val="00A45CD5"/>
    <w:rsid w:val="00A45DCE"/>
    <w:rsid w:val="00A4620F"/>
    <w:rsid w:val="00A4674C"/>
    <w:rsid w:val="00A46919"/>
    <w:rsid w:val="00A471DD"/>
    <w:rsid w:val="00A4777D"/>
    <w:rsid w:val="00A47A6E"/>
    <w:rsid w:val="00A50DB7"/>
    <w:rsid w:val="00A510C9"/>
    <w:rsid w:val="00A51232"/>
    <w:rsid w:val="00A516B7"/>
    <w:rsid w:val="00A51CF9"/>
    <w:rsid w:val="00A51D5F"/>
    <w:rsid w:val="00A51DCA"/>
    <w:rsid w:val="00A52517"/>
    <w:rsid w:val="00A526C8"/>
    <w:rsid w:val="00A526E6"/>
    <w:rsid w:val="00A535C2"/>
    <w:rsid w:val="00A54036"/>
    <w:rsid w:val="00A541F5"/>
    <w:rsid w:val="00A54F0C"/>
    <w:rsid w:val="00A55034"/>
    <w:rsid w:val="00A55F7A"/>
    <w:rsid w:val="00A560EA"/>
    <w:rsid w:val="00A56BAC"/>
    <w:rsid w:val="00A56CD9"/>
    <w:rsid w:val="00A60160"/>
    <w:rsid w:val="00A61093"/>
    <w:rsid w:val="00A617F1"/>
    <w:rsid w:val="00A61E82"/>
    <w:rsid w:val="00A61FEF"/>
    <w:rsid w:val="00A62857"/>
    <w:rsid w:val="00A62DED"/>
    <w:rsid w:val="00A632B3"/>
    <w:rsid w:val="00A635CE"/>
    <w:rsid w:val="00A63B64"/>
    <w:rsid w:val="00A63D87"/>
    <w:rsid w:val="00A646F3"/>
    <w:rsid w:val="00A650A5"/>
    <w:rsid w:val="00A65925"/>
    <w:rsid w:val="00A65E49"/>
    <w:rsid w:val="00A65F25"/>
    <w:rsid w:val="00A66035"/>
    <w:rsid w:val="00A661D0"/>
    <w:rsid w:val="00A66556"/>
    <w:rsid w:val="00A670D5"/>
    <w:rsid w:val="00A67206"/>
    <w:rsid w:val="00A67207"/>
    <w:rsid w:val="00A67C6C"/>
    <w:rsid w:val="00A67D12"/>
    <w:rsid w:val="00A7009B"/>
    <w:rsid w:val="00A70195"/>
    <w:rsid w:val="00A70338"/>
    <w:rsid w:val="00A70F1A"/>
    <w:rsid w:val="00A710B2"/>
    <w:rsid w:val="00A713D9"/>
    <w:rsid w:val="00A7178A"/>
    <w:rsid w:val="00A7182A"/>
    <w:rsid w:val="00A71A0C"/>
    <w:rsid w:val="00A72730"/>
    <w:rsid w:val="00A72BBB"/>
    <w:rsid w:val="00A72F61"/>
    <w:rsid w:val="00A730D4"/>
    <w:rsid w:val="00A737B4"/>
    <w:rsid w:val="00A74238"/>
    <w:rsid w:val="00A74AA5"/>
    <w:rsid w:val="00A74AD3"/>
    <w:rsid w:val="00A75181"/>
    <w:rsid w:val="00A755DA"/>
    <w:rsid w:val="00A766B3"/>
    <w:rsid w:val="00A76C2A"/>
    <w:rsid w:val="00A76EDD"/>
    <w:rsid w:val="00A77071"/>
    <w:rsid w:val="00A77423"/>
    <w:rsid w:val="00A8053E"/>
    <w:rsid w:val="00A80592"/>
    <w:rsid w:val="00A80770"/>
    <w:rsid w:val="00A80E6E"/>
    <w:rsid w:val="00A81503"/>
    <w:rsid w:val="00A81870"/>
    <w:rsid w:val="00A81B07"/>
    <w:rsid w:val="00A81E43"/>
    <w:rsid w:val="00A820BB"/>
    <w:rsid w:val="00A827DA"/>
    <w:rsid w:val="00A829F9"/>
    <w:rsid w:val="00A83003"/>
    <w:rsid w:val="00A83754"/>
    <w:rsid w:val="00A83F25"/>
    <w:rsid w:val="00A84539"/>
    <w:rsid w:val="00A84ABA"/>
    <w:rsid w:val="00A854BA"/>
    <w:rsid w:val="00A85960"/>
    <w:rsid w:val="00A85CBE"/>
    <w:rsid w:val="00A872B5"/>
    <w:rsid w:val="00A875EE"/>
    <w:rsid w:val="00A87C69"/>
    <w:rsid w:val="00A87CC1"/>
    <w:rsid w:val="00A87D36"/>
    <w:rsid w:val="00A9026A"/>
    <w:rsid w:val="00A9101B"/>
    <w:rsid w:val="00A91227"/>
    <w:rsid w:val="00A912B2"/>
    <w:rsid w:val="00A91757"/>
    <w:rsid w:val="00A91AC1"/>
    <w:rsid w:val="00A92596"/>
    <w:rsid w:val="00A9270A"/>
    <w:rsid w:val="00A92CC2"/>
    <w:rsid w:val="00A930AB"/>
    <w:rsid w:val="00A93380"/>
    <w:rsid w:val="00A93AD0"/>
    <w:rsid w:val="00A94034"/>
    <w:rsid w:val="00A94292"/>
    <w:rsid w:val="00A9476C"/>
    <w:rsid w:val="00A94D59"/>
    <w:rsid w:val="00A9550D"/>
    <w:rsid w:val="00A9569C"/>
    <w:rsid w:val="00A95737"/>
    <w:rsid w:val="00A9636F"/>
    <w:rsid w:val="00A9677A"/>
    <w:rsid w:val="00A96F40"/>
    <w:rsid w:val="00A97162"/>
    <w:rsid w:val="00AA0495"/>
    <w:rsid w:val="00AA04B7"/>
    <w:rsid w:val="00AA0E5C"/>
    <w:rsid w:val="00AA0F49"/>
    <w:rsid w:val="00AA2762"/>
    <w:rsid w:val="00AA3127"/>
    <w:rsid w:val="00AA4953"/>
    <w:rsid w:val="00AA4BEC"/>
    <w:rsid w:val="00AA4EAE"/>
    <w:rsid w:val="00AA6308"/>
    <w:rsid w:val="00AA66DF"/>
    <w:rsid w:val="00AA7852"/>
    <w:rsid w:val="00AB05D3"/>
    <w:rsid w:val="00AB0DED"/>
    <w:rsid w:val="00AB0DFC"/>
    <w:rsid w:val="00AB12C5"/>
    <w:rsid w:val="00AB18ED"/>
    <w:rsid w:val="00AB26F8"/>
    <w:rsid w:val="00AB29A0"/>
    <w:rsid w:val="00AB3A8A"/>
    <w:rsid w:val="00AB3BAF"/>
    <w:rsid w:val="00AB4835"/>
    <w:rsid w:val="00AB4F32"/>
    <w:rsid w:val="00AB529F"/>
    <w:rsid w:val="00AB66A6"/>
    <w:rsid w:val="00AB6D7C"/>
    <w:rsid w:val="00AB6E5C"/>
    <w:rsid w:val="00AB6F88"/>
    <w:rsid w:val="00AC0263"/>
    <w:rsid w:val="00AC0275"/>
    <w:rsid w:val="00AC0585"/>
    <w:rsid w:val="00AC0600"/>
    <w:rsid w:val="00AC09E1"/>
    <w:rsid w:val="00AC1425"/>
    <w:rsid w:val="00AC19B6"/>
    <w:rsid w:val="00AC1C5E"/>
    <w:rsid w:val="00AC2094"/>
    <w:rsid w:val="00AC21FF"/>
    <w:rsid w:val="00AC2E60"/>
    <w:rsid w:val="00AC4104"/>
    <w:rsid w:val="00AC4212"/>
    <w:rsid w:val="00AC47D9"/>
    <w:rsid w:val="00AC4AF1"/>
    <w:rsid w:val="00AC50B9"/>
    <w:rsid w:val="00AC5D19"/>
    <w:rsid w:val="00AC5D45"/>
    <w:rsid w:val="00AC5EE7"/>
    <w:rsid w:val="00AC6382"/>
    <w:rsid w:val="00AC6A7A"/>
    <w:rsid w:val="00AC70B8"/>
    <w:rsid w:val="00AC7504"/>
    <w:rsid w:val="00AC7929"/>
    <w:rsid w:val="00AC7E2F"/>
    <w:rsid w:val="00AC7E83"/>
    <w:rsid w:val="00AD06FA"/>
    <w:rsid w:val="00AD09B2"/>
    <w:rsid w:val="00AD10CE"/>
    <w:rsid w:val="00AD21BC"/>
    <w:rsid w:val="00AD267D"/>
    <w:rsid w:val="00AD2A87"/>
    <w:rsid w:val="00AD2B28"/>
    <w:rsid w:val="00AD2E97"/>
    <w:rsid w:val="00AD3C0B"/>
    <w:rsid w:val="00AD50B3"/>
    <w:rsid w:val="00AD5932"/>
    <w:rsid w:val="00AD5A40"/>
    <w:rsid w:val="00AD5D76"/>
    <w:rsid w:val="00AD6B88"/>
    <w:rsid w:val="00AD6BFD"/>
    <w:rsid w:val="00AD6C73"/>
    <w:rsid w:val="00AD6D7A"/>
    <w:rsid w:val="00AD6ECA"/>
    <w:rsid w:val="00AD7334"/>
    <w:rsid w:val="00AD7872"/>
    <w:rsid w:val="00AD7CD7"/>
    <w:rsid w:val="00AD7FB8"/>
    <w:rsid w:val="00AE0025"/>
    <w:rsid w:val="00AE043E"/>
    <w:rsid w:val="00AE1EB4"/>
    <w:rsid w:val="00AE2697"/>
    <w:rsid w:val="00AE28BB"/>
    <w:rsid w:val="00AE2A12"/>
    <w:rsid w:val="00AE2C5B"/>
    <w:rsid w:val="00AE3191"/>
    <w:rsid w:val="00AE3192"/>
    <w:rsid w:val="00AE356C"/>
    <w:rsid w:val="00AE393E"/>
    <w:rsid w:val="00AE4415"/>
    <w:rsid w:val="00AE4C7F"/>
    <w:rsid w:val="00AE4CB4"/>
    <w:rsid w:val="00AE4E8F"/>
    <w:rsid w:val="00AE4F9B"/>
    <w:rsid w:val="00AE5F57"/>
    <w:rsid w:val="00AE6A85"/>
    <w:rsid w:val="00AE6B06"/>
    <w:rsid w:val="00AE6C5E"/>
    <w:rsid w:val="00AE6F26"/>
    <w:rsid w:val="00AE71A9"/>
    <w:rsid w:val="00AE7569"/>
    <w:rsid w:val="00AE77A2"/>
    <w:rsid w:val="00AE7967"/>
    <w:rsid w:val="00AE79AF"/>
    <w:rsid w:val="00AF1D68"/>
    <w:rsid w:val="00AF22CB"/>
    <w:rsid w:val="00AF259A"/>
    <w:rsid w:val="00AF2937"/>
    <w:rsid w:val="00AF317F"/>
    <w:rsid w:val="00AF3262"/>
    <w:rsid w:val="00AF391A"/>
    <w:rsid w:val="00AF3C65"/>
    <w:rsid w:val="00AF3CE3"/>
    <w:rsid w:val="00AF537E"/>
    <w:rsid w:val="00AF59CB"/>
    <w:rsid w:val="00AF62FD"/>
    <w:rsid w:val="00AF669B"/>
    <w:rsid w:val="00AF69DD"/>
    <w:rsid w:val="00AF6A7F"/>
    <w:rsid w:val="00AF717D"/>
    <w:rsid w:val="00AF727F"/>
    <w:rsid w:val="00AF749F"/>
    <w:rsid w:val="00AF75E0"/>
    <w:rsid w:val="00AF77AF"/>
    <w:rsid w:val="00AF79BD"/>
    <w:rsid w:val="00B0007C"/>
    <w:rsid w:val="00B004D1"/>
    <w:rsid w:val="00B0077C"/>
    <w:rsid w:val="00B00D0A"/>
    <w:rsid w:val="00B00DC1"/>
    <w:rsid w:val="00B015E5"/>
    <w:rsid w:val="00B019C8"/>
    <w:rsid w:val="00B02187"/>
    <w:rsid w:val="00B02911"/>
    <w:rsid w:val="00B02F55"/>
    <w:rsid w:val="00B038AD"/>
    <w:rsid w:val="00B04209"/>
    <w:rsid w:val="00B04278"/>
    <w:rsid w:val="00B047D7"/>
    <w:rsid w:val="00B04909"/>
    <w:rsid w:val="00B05C44"/>
    <w:rsid w:val="00B05D7D"/>
    <w:rsid w:val="00B05F1B"/>
    <w:rsid w:val="00B0669F"/>
    <w:rsid w:val="00B069E4"/>
    <w:rsid w:val="00B06AF8"/>
    <w:rsid w:val="00B06BA9"/>
    <w:rsid w:val="00B06D12"/>
    <w:rsid w:val="00B06D9B"/>
    <w:rsid w:val="00B06E55"/>
    <w:rsid w:val="00B07590"/>
    <w:rsid w:val="00B07E65"/>
    <w:rsid w:val="00B101F7"/>
    <w:rsid w:val="00B1160E"/>
    <w:rsid w:val="00B13135"/>
    <w:rsid w:val="00B1357C"/>
    <w:rsid w:val="00B137D0"/>
    <w:rsid w:val="00B13B26"/>
    <w:rsid w:val="00B14311"/>
    <w:rsid w:val="00B143A7"/>
    <w:rsid w:val="00B148DA"/>
    <w:rsid w:val="00B148F9"/>
    <w:rsid w:val="00B15D07"/>
    <w:rsid w:val="00B15E4A"/>
    <w:rsid w:val="00B16B4F"/>
    <w:rsid w:val="00B17142"/>
    <w:rsid w:val="00B1768F"/>
    <w:rsid w:val="00B178E5"/>
    <w:rsid w:val="00B209C0"/>
    <w:rsid w:val="00B20AB5"/>
    <w:rsid w:val="00B20BA7"/>
    <w:rsid w:val="00B20DC5"/>
    <w:rsid w:val="00B218C4"/>
    <w:rsid w:val="00B21F1F"/>
    <w:rsid w:val="00B220ED"/>
    <w:rsid w:val="00B22408"/>
    <w:rsid w:val="00B22773"/>
    <w:rsid w:val="00B22EE9"/>
    <w:rsid w:val="00B23753"/>
    <w:rsid w:val="00B24009"/>
    <w:rsid w:val="00B244AF"/>
    <w:rsid w:val="00B248BB"/>
    <w:rsid w:val="00B24E36"/>
    <w:rsid w:val="00B24F58"/>
    <w:rsid w:val="00B250A1"/>
    <w:rsid w:val="00B2521A"/>
    <w:rsid w:val="00B257DA"/>
    <w:rsid w:val="00B25926"/>
    <w:rsid w:val="00B25C54"/>
    <w:rsid w:val="00B26565"/>
    <w:rsid w:val="00B26886"/>
    <w:rsid w:val="00B2715D"/>
    <w:rsid w:val="00B2725B"/>
    <w:rsid w:val="00B274EA"/>
    <w:rsid w:val="00B27748"/>
    <w:rsid w:val="00B27927"/>
    <w:rsid w:val="00B3021C"/>
    <w:rsid w:val="00B30C71"/>
    <w:rsid w:val="00B3136A"/>
    <w:rsid w:val="00B318DE"/>
    <w:rsid w:val="00B32510"/>
    <w:rsid w:val="00B32A9E"/>
    <w:rsid w:val="00B33AB1"/>
    <w:rsid w:val="00B34C64"/>
    <w:rsid w:val="00B34FF6"/>
    <w:rsid w:val="00B360BF"/>
    <w:rsid w:val="00B368EA"/>
    <w:rsid w:val="00B37695"/>
    <w:rsid w:val="00B37819"/>
    <w:rsid w:val="00B37F2F"/>
    <w:rsid w:val="00B40880"/>
    <w:rsid w:val="00B41DF3"/>
    <w:rsid w:val="00B4237C"/>
    <w:rsid w:val="00B42D9D"/>
    <w:rsid w:val="00B43655"/>
    <w:rsid w:val="00B436E9"/>
    <w:rsid w:val="00B43E29"/>
    <w:rsid w:val="00B43FB0"/>
    <w:rsid w:val="00B44EF3"/>
    <w:rsid w:val="00B45891"/>
    <w:rsid w:val="00B46FA6"/>
    <w:rsid w:val="00B47D9E"/>
    <w:rsid w:val="00B50B7E"/>
    <w:rsid w:val="00B50BFF"/>
    <w:rsid w:val="00B51493"/>
    <w:rsid w:val="00B51779"/>
    <w:rsid w:val="00B517D3"/>
    <w:rsid w:val="00B51A7A"/>
    <w:rsid w:val="00B525DB"/>
    <w:rsid w:val="00B526DD"/>
    <w:rsid w:val="00B5283B"/>
    <w:rsid w:val="00B53216"/>
    <w:rsid w:val="00B53577"/>
    <w:rsid w:val="00B53891"/>
    <w:rsid w:val="00B539AD"/>
    <w:rsid w:val="00B539DA"/>
    <w:rsid w:val="00B53B59"/>
    <w:rsid w:val="00B53DCE"/>
    <w:rsid w:val="00B54439"/>
    <w:rsid w:val="00B5488A"/>
    <w:rsid w:val="00B55B0B"/>
    <w:rsid w:val="00B55D5A"/>
    <w:rsid w:val="00B55EB9"/>
    <w:rsid w:val="00B56ACF"/>
    <w:rsid w:val="00B5778E"/>
    <w:rsid w:val="00B57F02"/>
    <w:rsid w:val="00B60A5E"/>
    <w:rsid w:val="00B60B6E"/>
    <w:rsid w:val="00B60D45"/>
    <w:rsid w:val="00B60E0C"/>
    <w:rsid w:val="00B610F6"/>
    <w:rsid w:val="00B612D0"/>
    <w:rsid w:val="00B61B6F"/>
    <w:rsid w:val="00B6236E"/>
    <w:rsid w:val="00B6256D"/>
    <w:rsid w:val="00B62741"/>
    <w:rsid w:val="00B62B8E"/>
    <w:rsid w:val="00B63546"/>
    <w:rsid w:val="00B63D13"/>
    <w:rsid w:val="00B63D4B"/>
    <w:rsid w:val="00B63DE5"/>
    <w:rsid w:val="00B643E3"/>
    <w:rsid w:val="00B6469B"/>
    <w:rsid w:val="00B65075"/>
    <w:rsid w:val="00B653B8"/>
    <w:rsid w:val="00B65D2E"/>
    <w:rsid w:val="00B665BA"/>
    <w:rsid w:val="00B66D00"/>
    <w:rsid w:val="00B6767D"/>
    <w:rsid w:val="00B67E35"/>
    <w:rsid w:val="00B70966"/>
    <w:rsid w:val="00B711AA"/>
    <w:rsid w:val="00B71589"/>
    <w:rsid w:val="00B72679"/>
    <w:rsid w:val="00B726BF"/>
    <w:rsid w:val="00B72FCE"/>
    <w:rsid w:val="00B73394"/>
    <w:rsid w:val="00B7346B"/>
    <w:rsid w:val="00B73D04"/>
    <w:rsid w:val="00B7408B"/>
    <w:rsid w:val="00B74FA9"/>
    <w:rsid w:val="00B7614E"/>
    <w:rsid w:val="00B76784"/>
    <w:rsid w:val="00B76B33"/>
    <w:rsid w:val="00B77003"/>
    <w:rsid w:val="00B77801"/>
    <w:rsid w:val="00B80720"/>
    <w:rsid w:val="00B80956"/>
    <w:rsid w:val="00B8098B"/>
    <w:rsid w:val="00B81434"/>
    <w:rsid w:val="00B81DCA"/>
    <w:rsid w:val="00B827DA"/>
    <w:rsid w:val="00B82A8C"/>
    <w:rsid w:val="00B82C0D"/>
    <w:rsid w:val="00B82C35"/>
    <w:rsid w:val="00B830C4"/>
    <w:rsid w:val="00B831A4"/>
    <w:rsid w:val="00B83D74"/>
    <w:rsid w:val="00B84799"/>
    <w:rsid w:val="00B84A65"/>
    <w:rsid w:val="00B85171"/>
    <w:rsid w:val="00B86058"/>
    <w:rsid w:val="00B862B2"/>
    <w:rsid w:val="00B867C9"/>
    <w:rsid w:val="00B86CD5"/>
    <w:rsid w:val="00B86DD2"/>
    <w:rsid w:val="00B8713F"/>
    <w:rsid w:val="00B8721B"/>
    <w:rsid w:val="00B874A7"/>
    <w:rsid w:val="00B87EAF"/>
    <w:rsid w:val="00B908EF"/>
    <w:rsid w:val="00B90A59"/>
    <w:rsid w:val="00B91A60"/>
    <w:rsid w:val="00B93280"/>
    <w:rsid w:val="00B935A8"/>
    <w:rsid w:val="00B9421D"/>
    <w:rsid w:val="00B95038"/>
    <w:rsid w:val="00B95894"/>
    <w:rsid w:val="00B95E8C"/>
    <w:rsid w:val="00B96E41"/>
    <w:rsid w:val="00BA13DC"/>
    <w:rsid w:val="00BA1860"/>
    <w:rsid w:val="00BA1F35"/>
    <w:rsid w:val="00BA1F90"/>
    <w:rsid w:val="00BA2F67"/>
    <w:rsid w:val="00BA3830"/>
    <w:rsid w:val="00BA3E6B"/>
    <w:rsid w:val="00BA511C"/>
    <w:rsid w:val="00BA5651"/>
    <w:rsid w:val="00BA6061"/>
    <w:rsid w:val="00BA6470"/>
    <w:rsid w:val="00BA6607"/>
    <w:rsid w:val="00BA6C36"/>
    <w:rsid w:val="00BA74B4"/>
    <w:rsid w:val="00BA7955"/>
    <w:rsid w:val="00BB009C"/>
    <w:rsid w:val="00BB0842"/>
    <w:rsid w:val="00BB0BB1"/>
    <w:rsid w:val="00BB0CB3"/>
    <w:rsid w:val="00BB115A"/>
    <w:rsid w:val="00BB16BF"/>
    <w:rsid w:val="00BB1840"/>
    <w:rsid w:val="00BB2083"/>
    <w:rsid w:val="00BB2B32"/>
    <w:rsid w:val="00BB4C51"/>
    <w:rsid w:val="00BB5728"/>
    <w:rsid w:val="00BB5C3B"/>
    <w:rsid w:val="00BB6280"/>
    <w:rsid w:val="00BB7346"/>
    <w:rsid w:val="00BB767C"/>
    <w:rsid w:val="00BC0B21"/>
    <w:rsid w:val="00BC0FA7"/>
    <w:rsid w:val="00BC1302"/>
    <w:rsid w:val="00BC318F"/>
    <w:rsid w:val="00BC45AD"/>
    <w:rsid w:val="00BC47DD"/>
    <w:rsid w:val="00BC4965"/>
    <w:rsid w:val="00BC4B1F"/>
    <w:rsid w:val="00BC574A"/>
    <w:rsid w:val="00BC58EF"/>
    <w:rsid w:val="00BC59B9"/>
    <w:rsid w:val="00BC5D7F"/>
    <w:rsid w:val="00BC6237"/>
    <w:rsid w:val="00BC6290"/>
    <w:rsid w:val="00BC68CA"/>
    <w:rsid w:val="00BC6EDB"/>
    <w:rsid w:val="00BC7D4B"/>
    <w:rsid w:val="00BD0A77"/>
    <w:rsid w:val="00BD0D62"/>
    <w:rsid w:val="00BD0DA7"/>
    <w:rsid w:val="00BD16FD"/>
    <w:rsid w:val="00BD1EC5"/>
    <w:rsid w:val="00BD3190"/>
    <w:rsid w:val="00BD31FB"/>
    <w:rsid w:val="00BD3940"/>
    <w:rsid w:val="00BD3DEC"/>
    <w:rsid w:val="00BD47FD"/>
    <w:rsid w:val="00BD4DA0"/>
    <w:rsid w:val="00BD4FEB"/>
    <w:rsid w:val="00BD5102"/>
    <w:rsid w:val="00BD5464"/>
    <w:rsid w:val="00BD559F"/>
    <w:rsid w:val="00BD648C"/>
    <w:rsid w:val="00BD782B"/>
    <w:rsid w:val="00BD7AC7"/>
    <w:rsid w:val="00BD7C05"/>
    <w:rsid w:val="00BE0914"/>
    <w:rsid w:val="00BE0CC2"/>
    <w:rsid w:val="00BE1920"/>
    <w:rsid w:val="00BE2062"/>
    <w:rsid w:val="00BE2F50"/>
    <w:rsid w:val="00BE3BC3"/>
    <w:rsid w:val="00BE4548"/>
    <w:rsid w:val="00BE4EFA"/>
    <w:rsid w:val="00BE590E"/>
    <w:rsid w:val="00BE5A61"/>
    <w:rsid w:val="00BE5B68"/>
    <w:rsid w:val="00BE6828"/>
    <w:rsid w:val="00BE7369"/>
    <w:rsid w:val="00BE77CC"/>
    <w:rsid w:val="00BE7C4B"/>
    <w:rsid w:val="00BF0127"/>
    <w:rsid w:val="00BF031E"/>
    <w:rsid w:val="00BF094B"/>
    <w:rsid w:val="00BF1106"/>
    <w:rsid w:val="00BF1C2C"/>
    <w:rsid w:val="00BF1CA7"/>
    <w:rsid w:val="00BF23D7"/>
    <w:rsid w:val="00BF2A44"/>
    <w:rsid w:val="00BF2AEB"/>
    <w:rsid w:val="00BF3387"/>
    <w:rsid w:val="00BF3583"/>
    <w:rsid w:val="00BF362F"/>
    <w:rsid w:val="00BF3804"/>
    <w:rsid w:val="00BF414D"/>
    <w:rsid w:val="00BF430F"/>
    <w:rsid w:val="00BF43C7"/>
    <w:rsid w:val="00BF5323"/>
    <w:rsid w:val="00BF54A7"/>
    <w:rsid w:val="00BF58F0"/>
    <w:rsid w:val="00BF5981"/>
    <w:rsid w:val="00BF5D0E"/>
    <w:rsid w:val="00BF5DA5"/>
    <w:rsid w:val="00BF5F9E"/>
    <w:rsid w:val="00BF69F6"/>
    <w:rsid w:val="00BF6A88"/>
    <w:rsid w:val="00BF70A2"/>
    <w:rsid w:val="00BF767E"/>
    <w:rsid w:val="00C0016E"/>
    <w:rsid w:val="00C01876"/>
    <w:rsid w:val="00C01920"/>
    <w:rsid w:val="00C01B65"/>
    <w:rsid w:val="00C01EE1"/>
    <w:rsid w:val="00C024A6"/>
    <w:rsid w:val="00C029BC"/>
    <w:rsid w:val="00C02F6A"/>
    <w:rsid w:val="00C032A9"/>
    <w:rsid w:val="00C039A3"/>
    <w:rsid w:val="00C03AD4"/>
    <w:rsid w:val="00C03E35"/>
    <w:rsid w:val="00C05290"/>
    <w:rsid w:val="00C05C20"/>
    <w:rsid w:val="00C05C4C"/>
    <w:rsid w:val="00C062E3"/>
    <w:rsid w:val="00C0662D"/>
    <w:rsid w:val="00C07F7C"/>
    <w:rsid w:val="00C111A8"/>
    <w:rsid w:val="00C11583"/>
    <w:rsid w:val="00C118BD"/>
    <w:rsid w:val="00C11AB9"/>
    <w:rsid w:val="00C12209"/>
    <w:rsid w:val="00C122BF"/>
    <w:rsid w:val="00C12DF5"/>
    <w:rsid w:val="00C12EE9"/>
    <w:rsid w:val="00C13D5A"/>
    <w:rsid w:val="00C13E33"/>
    <w:rsid w:val="00C14321"/>
    <w:rsid w:val="00C15481"/>
    <w:rsid w:val="00C159D7"/>
    <w:rsid w:val="00C16936"/>
    <w:rsid w:val="00C17A54"/>
    <w:rsid w:val="00C20088"/>
    <w:rsid w:val="00C204E0"/>
    <w:rsid w:val="00C2164F"/>
    <w:rsid w:val="00C218E0"/>
    <w:rsid w:val="00C21DEF"/>
    <w:rsid w:val="00C23FCF"/>
    <w:rsid w:val="00C245D9"/>
    <w:rsid w:val="00C2460A"/>
    <w:rsid w:val="00C257BA"/>
    <w:rsid w:val="00C257CB"/>
    <w:rsid w:val="00C2664A"/>
    <w:rsid w:val="00C26733"/>
    <w:rsid w:val="00C26B7A"/>
    <w:rsid w:val="00C26DB5"/>
    <w:rsid w:val="00C26FF2"/>
    <w:rsid w:val="00C27BA8"/>
    <w:rsid w:val="00C31173"/>
    <w:rsid w:val="00C31634"/>
    <w:rsid w:val="00C3169F"/>
    <w:rsid w:val="00C316C6"/>
    <w:rsid w:val="00C318CE"/>
    <w:rsid w:val="00C31DCB"/>
    <w:rsid w:val="00C322A8"/>
    <w:rsid w:val="00C3246D"/>
    <w:rsid w:val="00C32953"/>
    <w:rsid w:val="00C32CFD"/>
    <w:rsid w:val="00C32F3B"/>
    <w:rsid w:val="00C3412D"/>
    <w:rsid w:val="00C34867"/>
    <w:rsid w:val="00C348CE"/>
    <w:rsid w:val="00C3557D"/>
    <w:rsid w:val="00C356DB"/>
    <w:rsid w:val="00C35EE3"/>
    <w:rsid w:val="00C36B90"/>
    <w:rsid w:val="00C36FAA"/>
    <w:rsid w:val="00C371C7"/>
    <w:rsid w:val="00C374FC"/>
    <w:rsid w:val="00C4150D"/>
    <w:rsid w:val="00C424E3"/>
    <w:rsid w:val="00C42FD9"/>
    <w:rsid w:val="00C43219"/>
    <w:rsid w:val="00C43A33"/>
    <w:rsid w:val="00C44202"/>
    <w:rsid w:val="00C44A75"/>
    <w:rsid w:val="00C44DBF"/>
    <w:rsid w:val="00C45516"/>
    <w:rsid w:val="00C456BA"/>
    <w:rsid w:val="00C45ED5"/>
    <w:rsid w:val="00C466CF"/>
    <w:rsid w:val="00C46AA8"/>
    <w:rsid w:val="00C47130"/>
    <w:rsid w:val="00C479BA"/>
    <w:rsid w:val="00C47EEB"/>
    <w:rsid w:val="00C500D5"/>
    <w:rsid w:val="00C50A67"/>
    <w:rsid w:val="00C50E68"/>
    <w:rsid w:val="00C51143"/>
    <w:rsid w:val="00C51679"/>
    <w:rsid w:val="00C52176"/>
    <w:rsid w:val="00C5254A"/>
    <w:rsid w:val="00C52A14"/>
    <w:rsid w:val="00C53358"/>
    <w:rsid w:val="00C53871"/>
    <w:rsid w:val="00C5402B"/>
    <w:rsid w:val="00C5441D"/>
    <w:rsid w:val="00C54574"/>
    <w:rsid w:val="00C5497F"/>
    <w:rsid w:val="00C55294"/>
    <w:rsid w:val="00C5531E"/>
    <w:rsid w:val="00C555B1"/>
    <w:rsid w:val="00C5616F"/>
    <w:rsid w:val="00C56885"/>
    <w:rsid w:val="00C6042C"/>
    <w:rsid w:val="00C6139F"/>
    <w:rsid w:val="00C61DF4"/>
    <w:rsid w:val="00C61EC6"/>
    <w:rsid w:val="00C62066"/>
    <w:rsid w:val="00C646FB"/>
    <w:rsid w:val="00C64B15"/>
    <w:rsid w:val="00C65314"/>
    <w:rsid w:val="00C655BD"/>
    <w:rsid w:val="00C65EE6"/>
    <w:rsid w:val="00C65F2D"/>
    <w:rsid w:val="00C6639B"/>
    <w:rsid w:val="00C663E5"/>
    <w:rsid w:val="00C664F1"/>
    <w:rsid w:val="00C6667F"/>
    <w:rsid w:val="00C666AE"/>
    <w:rsid w:val="00C672ED"/>
    <w:rsid w:val="00C67D1D"/>
    <w:rsid w:val="00C67DE6"/>
    <w:rsid w:val="00C702DB"/>
    <w:rsid w:val="00C7055A"/>
    <w:rsid w:val="00C70D65"/>
    <w:rsid w:val="00C73029"/>
    <w:rsid w:val="00C73074"/>
    <w:rsid w:val="00C7352F"/>
    <w:rsid w:val="00C73A2F"/>
    <w:rsid w:val="00C73E71"/>
    <w:rsid w:val="00C73F6E"/>
    <w:rsid w:val="00C741A8"/>
    <w:rsid w:val="00C74322"/>
    <w:rsid w:val="00C74D9F"/>
    <w:rsid w:val="00C74EDF"/>
    <w:rsid w:val="00C74F22"/>
    <w:rsid w:val="00C75B6D"/>
    <w:rsid w:val="00C76D1F"/>
    <w:rsid w:val="00C76EFD"/>
    <w:rsid w:val="00C77E6C"/>
    <w:rsid w:val="00C807DF"/>
    <w:rsid w:val="00C80D2F"/>
    <w:rsid w:val="00C8111F"/>
    <w:rsid w:val="00C81A50"/>
    <w:rsid w:val="00C821F6"/>
    <w:rsid w:val="00C823D1"/>
    <w:rsid w:val="00C82423"/>
    <w:rsid w:val="00C82958"/>
    <w:rsid w:val="00C82BFC"/>
    <w:rsid w:val="00C82D19"/>
    <w:rsid w:val="00C83E2D"/>
    <w:rsid w:val="00C84C32"/>
    <w:rsid w:val="00C8538B"/>
    <w:rsid w:val="00C854E1"/>
    <w:rsid w:val="00C86319"/>
    <w:rsid w:val="00C86401"/>
    <w:rsid w:val="00C868F8"/>
    <w:rsid w:val="00C874B3"/>
    <w:rsid w:val="00C877AE"/>
    <w:rsid w:val="00C912E1"/>
    <w:rsid w:val="00C919FB"/>
    <w:rsid w:val="00C91B20"/>
    <w:rsid w:val="00C923A8"/>
    <w:rsid w:val="00C926C7"/>
    <w:rsid w:val="00C92DFB"/>
    <w:rsid w:val="00C94260"/>
    <w:rsid w:val="00C94891"/>
    <w:rsid w:val="00C96B0F"/>
    <w:rsid w:val="00C96F89"/>
    <w:rsid w:val="00C971E4"/>
    <w:rsid w:val="00C977F1"/>
    <w:rsid w:val="00C97ABC"/>
    <w:rsid w:val="00CA0E22"/>
    <w:rsid w:val="00CA111E"/>
    <w:rsid w:val="00CA19A0"/>
    <w:rsid w:val="00CA1C4E"/>
    <w:rsid w:val="00CA227B"/>
    <w:rsid w:val="00CA25C2"/>
    <w:rsid w:val="00CA284D"/>
    <w:rsid w:val="00CA2954"/>
    <w:rsid w:val="00CA3012"/>
    <w:rsid w:val="00CA360E"/>
    <w:rsid w:val="00CA4AF0"/>
    <w:rsid w:val="00CA5075"/>
    <w:rsid w:val="00CA52FA"/>
    <w:rsid w:val="00CA56CD"/>
    <w:rsid w:val="00CA5BB0"/>
    <w:rsid w:val="00CA5C31"/>
    <w:rsid w:val="00CA5DA1"/>
    <w:rsid w:val="00CA714A"/>
    <w:rsid w:val="00CA7BE1"/>
    <w:rsid w:val="00CA7F8F"/>
    <w:rsid w:val="00CB0141"/>
    <w:rsid w:val="00CB189A"/>
    <w:rsid w:val="00CB3A8B"/>
    <w:rsid w:val="00CB4543"/>
    <w:rsid w:val="00CB45C6"/>
    <w:rsid w:val="00CB4727"/>
    <w:rsid w:val="00CB481A"/>
    <w:rsid w:val="00CB586E"/>
    <w:rsid w:val="00CB58DF"/>
    <w:rsid w:val="00CB6523"/>
    <w:rsid w:val="00CB6E08"/>
    <w:rsid w:val="00CB704B"/>
    <w:rsid w:val="00CB70C2"/>
    <w:rsid w:val="00CB794D"/>
    <w:rsid w:val="00CB7E18"/>
    <w:rsid w:val="00CC01E5"/>
    <w:rsid w:val="00CC104A"/>
    <w:rsid w:val="00CC16D6"/>
    <w:rsid w:val="00CC1F41"/>
    <w:rsid w:val="00CC29C2"/>
    <w:rsid w:val="00CC2B7C"/>
    <w:rsid w:val="00CC3309"/>
    <w:rsid w:val="00CC3935"/>
    <w:rsid w:val="00CC4124"/>
    <w:rsid w:val="00CC5687"/>
    <w:rsid w:val="00CC5CE1"/>
    <w:rsid w:val="00CC61E9"/>
    <w:rsid w:val="00CC6EC4"/>
    <w:rsid w:val="00CC7192"/>
    <w:rsid w:val="00CC774B"/>
    <w:rsid w:val="00CD0002"/>
    <w:rsid w:val="00CD0369"/>
    <w:rsid w:val="00CD1173"/>
    <w:rsid w:val="00CD28ED"/>
    <w:rsid w:val="00CD31A7"/>
    <w:rsid w:val="00CD410E"/>
    <w:rsid w:val="00CD49F6"/>
    <w:rsid w:val="00CD5E40"/>
    <w:rsid w:val="00CD6477"/>
    <w:rsid w:val="00CD6ABA"/>
    <w:rsid w:val="00CD6FE5"/>
    <w:rsid w:val="00CD741E"/>
    <w:rsid w:val="00CD7A44"/>
    <w:rsid w:val="00CE036A"/>
    <w:rsid w:val="00CE074B"/>
    <w:rsid w:val="00CE115B"/>
    <w:rsid w:val="00CE1E1A"/>
    <w:rsid w:val="00CE231B"/>
    <w:rsid w:val="00CE27E4"/>
    <w:rsid w:val="00CE2896"/>
    <w:rsid w:val="00CE29D2"/>
    <w:rsid w:val="00CE3407"/>
    <w:rsid w:val="00CE44EA"/>
    <w:rsid w:val="00CE4D96"/>
    <w:rsid w:val="00CE4DFE"/>
    <w:rsid w:val="00CE5BF6"/>
    <w:rsid w:val="00CE5D20"/>
    <w:rsid w:val="00CE5F50"/>
    <w:rsid w:val="00CE69AC"/>
    <w:rsid w:val="00CE77BB"/>
    <w:rsid w:val="00CE7B58"/>
    <w:rsid w:val="00CF07C5"/>
    <w:rsid w:val="00CF0C7C"/>
    <w:rsid w:val="00CF0DFC"/>
    <w:rsid w:val="00CF198E"/>
    <w:rsid w:val="00CF1F83"/>
    <w:rsid w:val="00CF2932"/>
    <w:rsid w:val="00CF2F92"/>
    <w:rsid w:val="00CF2FA7"/>
    <w:rsid w:val="00CF31CB"/>
    <w:rsid w:val="00CF3297"/>
    <w:rsid w:val="00CF3628"/>
    <w:rsid w:val="00CF3BDA"/>
    <w:rsid w:val="00CF3F1C"/>
    <w:rsid w:val="00CF3F67"/>
    <w:rsid w:val="00CF5090"/>
    <w:rsid w:val="00CF57A6"/>
    <w:rsid w:val="00CF5D59"/>
    <w:rsid w:val="00CF5F1C"/>
    <w:rsid w:val="00CF690B"/>
    <w:rsid w:val="00CF6C3B"/>
    <w:rsid w:val="00CF6E66"/>
    <w:rsid w:val="00CF7E38"/>
    <w:rsid w:val="00CF7F69"/>
    <w:rsid w:val="00CF7F77"/>
    <w:rsid w:val="00D00A29"/>
    <w:rsid w:val="00D02A12"/>
    <w:rsid w:val="00D02A61"/>
    <w:rsid w:val="00D02C86"/>
    <w:rsid w:val="00D0337B"/>
    <w:rsid w:val="00D0472C"/>
    <w:rsid w:val="00D0501B"/>
    <w:rsid w:val="00D05206"/>
    <w:rsid w:val="00D05FD1"/>
    <w:rsid w:val="00D061B4"/>
    <w:rsid w:val="00D06428"/>
    <w:rsid w:val="00D067AD"/>
    <w:rsid w:val="00D1100A"/>
    <w:rsid w:val="00D116D2"/>
    <w:rsid w:val="00D11794"/>
    <w:rsid w:val="00D119C0"/>
    <w:rsid w:val="00D11A70"/>
    <w:rsid w:val="00D1282A"/>
    <w:rsid w:val="00D12FD5"/>
    <w:rsid w:val="00D14380"/>
    <w:rsid w:val="00D14CF2"/>
    <w:rsid w:val="00D1538A"/>
    <w:rsid w:val="00D1545D"/>
    <w:rsid w:val="00D16057"/>
    <w:rsid w:val="00D166E4"/>
    <w:rsid w:val="00D1699D"/>
    <w:rsid w:val="00D16D65"/>
    <w:rsid w:val="00D17030"/>
    <w:rsid w:val="00D173B2"/>
    <w:rsid w:val="00D1758B"/>
    <w:rsid w:val="00D20B61"/>
    <w:rsid w:val="00D21717"/>
    <w:rsid w:val="00D220B2"/>
    <w:rsid w:val="00D223D3"/>
    <w:rsid w:val="00D2276D"/>
    <w:rsid w:val="00D22888"/>
    <w:rsid w:val="00D234C8"/>
    <w:rsid w:val="00D234E6"/>
    <w:rsid w:val="00D24E0D"/>
    <w:rsid w:val="00D253AE"/>
    <w:rsid w:val="00D2573F"/>
    <w:rsid w:val="00D25B11"/>
    <w:rsid w:val="00D2680D"/>
    <w:rsid w:val="00D269FB"/>
    <w:rsid w:val="00D26EDE"/>
    <w:rsid w:val="00D27053"/>
    <w:rsid w:val="00D27853"/>
    <w:rsid w:val="00D27EE0"/>
    <w:rsid w:val="00D30358"/>
    <w:rsid w:val="00D30592"/>
    <w:rsid w:val="00D3097A"/>
    <w:rsid w:val="00D309D6"/>
    <w:rsid w:val="00D313BC"/>
    <w:rsid w:val="00D318C9"/>
    <w:rsid w:val="00D3215D"/>
    <w:rsid w:val="00D322AC"/>
    <w:rsid w:val="00D328D5"/>
    <w:rsid w:val="00D32B31"/>
    <w:rsid w:val="00D32EEA"/>
    <w:rsid w:val="00D334BA"/>
    <w:rsid w:val="00D33543"/>
    <w:rsid w:val="00D33B3D"/>
    <w:rsid w:val="00D341F3"/>
    <w:rsid w:val="00D34537"/>
    <w:rsid w:val="00D34960"/>
    <w:rsid w:val="00D3514E"/>
    <w:rsid w:val="00D35594"/>
    <w:rsid w:val="00D3580F"/>
    <w:rsid w:val="00D36411"/>
    <w:rsid w:val="00D366A3"/>
    <w:rsid w:val="00D36DCF"/>
    <w:rsid w:val="00D40610"/>
    <w:rsid w:val="00D41669"/>
    <w:rsid w:val="00D42929"/>
    <w:rsid w:val="00D429C0"/>
    <w:rsid w:val="00D43B69"/>
    <w:rsid w:val="00D43ED2"/>
    <w:rsid w:val="00D440AA"/>
    <w:rsid w:val="00D440B5"/>
    <w:rsid w:val="00D443CC"/>
    <w:rsid w:val="00D448A6"/>
    <w:rsid w:val="00D44B3F"/>
    <w:rsid w:val="00D44ECC"/>
    <w:rsid w:val="00D45677"/>
    <w:rsid w:val="00D45898"/>
    <w:rsid w:val="00D45E5E"/>
    <w:rsid w:val="00D45E6C"/>
    <w:rsid w:val="00D46759"/>
    <w:rsid w:val="00D47035"/>
    <w:rsid w:val="00D470C0"/>
    <w:rsid w:val="00D47107"/>
    <w:rsid w:val="00D473C5"/>
    <w:rsid w:val="00D47450"/>
    <w:rsid w:val="00D476DE"/>
    <w:rsid w:val="00D47F11"/>
    <w:rsid w:val="00D505C7"/>
    <w:rsid w:val="00D506E9"/>
    <w:rsid w:val="00D5177E"/>
    <w:rsid w:val="00D51CC8"/>
    <w:rsid w:val="00D51FEC"/>
    <w:rsid w:val="00D523F0"/>
    <w:rsid w:val="00D53171"/>
    <w:rsid w:val="00D53244"/>
    <w:rsid w:val="00D546B1"/>
    <w:rsid w:val="00D5533D"/>
    <w:rsid w:val="00D5547E"/>
    <w:rsid w:val="00D556D8"/>
    <w:rsid w:val="00D557A3"/>
    <w:rsid w:val="00D55B0C"/>
    <w:rsid w:val="00D5682A"/>
    <w:rsid w:val="00D56995"/>
    <w:rsid w:val="00D5709A"/>
    <w:rsid w:val="00D57DC1"/>
    <w:rsid w:val="00D6179D"/>
    <w:rsid w:val="00D62328"/>
    <w:rsid w:val="00D63683"/>
    <w:rsid w:val="00D639B4"/>
    <w:rsid w:val="00D644F0"/>
    <w:rsid w:val="00D64A04"/>
    <w:rsid w:val="00D64B2C"/>
    <w:rsid w:val="00D64D69"/>
    <w:rsid w:val="00D6566C"/>
    <w:rsid w:val="00D65DF5"/>
    <w:rsid w:val="00D65F47"/>
    <w:rsid w:val="00D6654B"/>
    <w:rsid w:val="00D67633"/>
    <w:rsid w:val="00D70F44"/>
    <w:rsid w:val="00D720A7"/>
    <w:rsid w:val="00D72111"/>
    <w:rsid w:val="00D724DC"/>
    <w:rsid w:val="00D72591"/>
    <w:rsid w:val="00D730FA"/>
    <w:rsid w:val="00D73179"/>
    <w:rsid w:val="00D7342D"/>
    <w:rsid w:val="00D7364F"/>
    <w:rsid w:val="00D73E3D"/>
    <w:rsid w:val="00D7457F"/>
    <w:rsid w:val="00D7501D"/>
    <w:rsid w:val="00D7550F"/>
    <w:rsid w:val="00D75722"/>
    <w:rsid w:val="00D76641"/>
    <w:rsid w:val="00D76899"/>
    <w:rsid w:val="00D76FA4"/>
    <w:rsid w:val="00D77257"/>
    <w:rsid w:val="00D776EC"/>
    <w:rsid w:val="00D77E29"/>
    <w:rsid w:val="00D8087E"/>
    <w:rsid w:val="00D829D7"/>
    <w:rsid w:val="00D82E22"/>
    <w:rsid w:val="00D834DB"/>
    <w:rsid w:val="00D84304"/>
    <w:rsid w:val="00D8571B"/>
    <w:rsid w:val="00D8598C"/>
    <w:rsid w:val="00D86393"/>
    <w:rsid w:val="00D86FF2"/>
    <w:rsid w:val="00D878CD"/>
    <w:rsid w:val="00D87CC5"/>
    <w:rsid w:val="00D900AC"/>
    <w:rsid w:val="00D90324"/>
    <w:rsid w:val="00D9114A"/>
    <w:rsid w:val="00D91B8E"/>
    <w:rsid w:val="00D91BFA"/>
    <w:rsid w:val="00D9214B"/>
    <w:rsid w:val="00D92A67"/>
    <w:rsid w:val="00D92AE9"/>
    <w:rsid w:val="00D93C89"/>
    <w:rsid w:val="00D9478A"/>
    <w:rsid w:val="00D95E38"/>
    <w:rsid w:val="00D96460"/>
    <w:rsid w:val="00D96846"/>
    <w:rsid w:val="00D96B8A"/>
    <w:rsid w:val="00D96D68"/>
    <w:rsid w:val="00D97478"/>
    <w:rsid w:val="00D97495"/>
    <w:rsid w:val="00D97C3C"/>
    <w:rsid w:val="00D97CE0"/>
    <w:rsid w:val="00D97FDD"/>
    <w:rsid w:val="00DA0E0A"/>
    <w:rsid w:val="00DA1464"/>
    <w:rsid w:val="00DA16BD"/>
    <w:rsid w:val="00DA2000"/>
    <w:rsid w:val="00DA2914"/>
    <w:rsid w:val="00DA29F8"/>
    <w:rsid w:val="00DA393E"/>
    <w:rsid w:val="00DA48B8"/>
    <w:rsid w:val="00DA5046"/>
    <w:rsid w:val="00DA505A"/>
    <w:rsid w:val="00DA5066"/>
    <w:rsid w:val="00DA50C7"/>
    <w:rsid w:val="00DA5488"/>
    <w:rsid w:val="00DA5DEB"/>
    <w:rsid w:val="00DA5EF4"/>
    <w:rsid w:val="00DA6146"/>
    <w:rsid w:val="00DA6161"/>
    <w:rsid w:val="00DA65AC"/>
    <w:rsid w:val="00DA65B1"/>
    <w:rsid w:val="00DA6D99"/>
    <w:rsid w:val="00DA760F"/>
    <w:rsid w:val="00DA7B05"/>
    <w:rsid w:val="00DA7F32"/>
    <w:rsid w:val="00DB037F"/>
    <w:rsid w:val="00DB047A"/>
    <w:rsid w:val="00DB0706"/>
    <w:rsid w:val="00DB0904"/>
    <w:rsid w:val="00DB1B0D"/>
    <w:rsid w:val="00DB313F"/>
    <w:rsid w:val="00DB5BD6"/>
    <w:rsid w:val="00DB5C83"/>
    <w:rsid w:val="00DB6063"/>
    <w:rsid w:val="00DB6442"/>
    <w:rsid w:val="00DB74C4"/>
    <w:rsid w:val="00DB774C"/>
    <w:rsid w:val="00DB7B96"/>
    <w:rsid w:val="00DC006E"/>
    <w:rsid w:val="00DC023E"/>
    <w:rsid w:val="00DC0A52"/>
    <w:rsid w:val="00DC0ADF"/>
    <w:rsid w:val="00DC0B2F"/>
    <w:rsid w:val="00DC113A"/>
    <w:rsid w:val="00DC1364"/>
    <w:rsid w:val="00DC1728"/>
    <w:rsid w:val="00DC1CB5"/>
    <w:rsid w:val="00DC2A49"/>
    <w:rsid w:val="00DC2C55"/>
    <w:rsid w:val="00DC2DBA"/>
    <w:rsid w:val="00DC305F"/>
    <w:rsid w:val="00DC30E6"/>
    <w:rsid w:val="00DC345C"/>
    <w:rsid w:val="00DC38A6"/>
    <w:rsid w:val="00DC4CA4"/>
    <w:rsid w:val="00DC4DEE"/>
    <w:rsid w:val="00DC4ED5"/>
    <w:rsid w:val="00DC5810"/>
    <w:rsid w:val="00DC59BC"/>
    <w:rsid w:val="00DC61F7"/>
    <w:rsid w:val="00DC63B9"/>
    <w:rsid w:val="00DC74E8"/>
    <w:rsid w:val="00DC773D"/>
    <w:rsid w:val="00DD0077"/>
    <w:rsid w:val="00DD0CEA"/>
    <w:rsid w:val="00DD16C1"/>
    <w:rsid w:val="00DD1705"/>
    <w:rsid w:val="00DD1F06"/>
    <w:rsid w:val="00DD2809"/>
    <w:rsid w:val="00DD325D"/>
    <w:rsid w:val="00DD3665"/>
    <w:rsid w:val="00DD37D1"/>
    <w:rsid w:val="00DD408C"/>
    <w:rsid w:val="00DD473F"/>
    <w:rsid w:val="00DD4C8C"/>
    <w:rsid w:val="00DD57D7"/>
    <w:rsid w:val="00DD5CBA"/>
    <w:rsid w:val="00DD65D4"/>
    <w:rsid w:val="00DD66C9"/>
    <w:rsid w:val="00DD69CA"/>
    <w:rsid w:val="00DD6E77"/>
    <w:rsid w:val="00DD70CC"/>
    <w:rsid w:val="00DD7130"/>
    <w:rsid w:val="00DD7A24"/>
    <w:rsid w:val="00DD7A82"/>
    <w:rsid w:val="00DE05D0"/>
    <w:rsid w:val="00DE0870"/>
    <w:rsid w:val="00DE094F"/>
    <w:rsid w:val="00DE0CEB"/>
    <w:rsid w:val="00DE1111"/>
    <w:rsid w:val="00DE2427"/>
    <w:rsid w:val="00DE34D4"/>
    <w:rsid w:val="00DE3773"/>
    <w:rsid w:val="00DE5645"/>
    <w:rsid w:val="00DE5B6E"/>
    <w:rsid w:val="00DE641D"/>
    <w:rsid w:val="00DE6585"/>
    <w:rsid w:val="00DE6D7C"/>
    <w:rsid w:val="00DF0062"/>
    <w:rsid w:val="00DF0BAA"/>
    <w:rsid w:val="00DF0CC1"/>
    <w:rsid w:val="00DF144F"/>
    <w:rsid w:val="00DF1FC9"/>
    <w:rsid w:val="00DF2D5B"/>
    <w:rsid w:val="00DF3593"/>
    <w:rsid w:val="00DF54B3"/>
    <w:rsid w:val="00DF5B9C"/>
    <w:rsid w:val="00DF5C07"/>
    <w:rsid w:val="00DF6515"/>
    <w:rsid w:val="00DF65EF"/>
    <w:rsid w:val="00DF76DF"/>
    <w:rsid w:val="00DF778B"/>
    <w:rsid w:val="00DF779D"/>
    <w:rsid w:val="00DF7A43"/>
    <w:rsid w:val="00E00DD0"/>
    <w:rsid w:val="00E012BB"/>
    <w:rsid w:val="00E01C2E"/>
    <w:rsid w:val="00E01DA7"/>
    <w:rsid w:val="00E01E96"/>
    <w:rsid w:val="00E02182"/>
    <w:rsid w:val="00E02763"/>
    <w:rsid w:val="00E02A6B"/>
    <w:rsid w:val="00E02B31"/>
    <w:rsid w:val="00E03C3D"/>
    <w:rsid w:val="00E03DD2"/>
    <w:rsid w:val="00E04596"/>
    <w:rsid w:val="00E05988"/>
    <w:rsid w:val="00E0651A"/>
    <w:rsid w:val="00E07620"/>
    <w:rsid w:val="00E07A19"/>
    <w:rsid w:val="00E10175"/>
    <w:rsid w:val="00E10228"/>
    <w:rsid w:val="00E10ACC"/>
    <w:rsid w:val="00E10DFD"/>
    <w:rsid w:val="00E10E19"/>
    <w:rsid w:val="00E120AD"/>
    <w:rsid w:val="00E120C2"/>
    <w:rsid w:val="00E122EC"/>
    <w:rsid w:val="00E127AD"/>
    <w:rsid w:val="00E12D27"/>
    <w:rsid w:val="00E136FB"/>
    <w:rsid w:val="00E140E8"/>
    <w:rsid w:val="00E14369"/>
    <w:rsid w:val="00E14A6C"/>
    <w:rsid w:val="00E14BD5"/>
    <w:rsid w:val="00E15C73"/>
    <w:rsid w:val="00E1611A"/>
    <w:rsid w:val="00E161CE"/>
    <w:rsid w:val="00E1653F"/>
    <w:rsid w:val="00E1738A"/>
    <w:rsid w:val="00E175A8"/>
    <w:rsid w:val="00E1788F"/>
    <w:rsid w:val="00E17C39"/>
    <w:rsid w:val="00E2071B"/>
    <w:rsid w:val="00E207E1"/>
    <w:rsid w:val="00E20F3D"/>
    <w:rsid w:val="00E21904"/>
    <w:rsid w:val="00E221DD"/>
    <w:rsid w:val="00E23AE7"/>
    <w:rsid w:val="00E259BB"/>
    <w:rsid w:val="00E25EB2"/>
    <w:rsid w:val="00E26FCE"/>
    <w:rsid w:val="00E2709A"/>
    <w:rsid w:val="00E271D1"/>
    <w:rsid w:val="00E272C6"/>
    <w:rsid w:val="00E274C9"/>
    <w:rsid w:val="00E276BC"/>
    <w:rsid w:val="00E27A07"/>
    <w:rsid w:val="00E27CDA"/>
    <w:rsid w:val="00E3002F"/>
    <w:rsid w:val="00E304FB"/>
    <w:rsid w:val="00E30BEA"/>
    <w:rsid w:val="00E30E1E"/>
    <w:rsid w:val="00E31221"/>
    <w:rsid w:val="00E3137C"/>
    <w:rsid w:val="00E31891"/>
    <w:rsid w:val="00E31A1E"/>
    <w:rsid w:val="00E31BD0"/>
    <w:rsid w:val="00E33447"/>
    <w:rsid w:val="00E3346A"/>
    <w:rsid w:val="00E34030"/>
    <w:rsid w:val="00E34B0F"/>
    <w:rsid w:val="00E34CAA"/>
    <w:rsid w:val="00E350FA"/>
    <w:rsid w:val="00E3624D"/>
    <w:rsid w:val="00E36AA4"/>
    <w:rsid w:val="00E36B9A"/>
    <w:rsid w:val="00E36DB4"/>
    <w:rsid w:val="00E36DF5"/>
    <w:rsid w:val="00E371D8"/>
    <w:rsid w:val="00E37B13"/>
    <w:rsid w:val="00E37DF1"/>
    <w:rsid w:val="00E41BAD"/>
    <w:rsid w:val="00E42E90"/>
    <w:rsid w:val="00E4333D"/>
    <w:rsid w:val="00E436BD"/>
    <w:rsid w:val="00E43948"/>
    <w:rsid w:val="00E440AF"/>
    <w:rsid w:val="00E445B9"/>
    <w:rsid w:val="00E44F15"/>
    <w:rsid w:val="00E458F6"/>
    <w:rsid w:val="00E45BC5"/>
    <w:rsid w:val="00E4612F"/>
    <w:rsid w:val="00E46E43"/>
    <w:rsid w:val="00E46EAE"/>
    <w:rsid w:val="00E4710E"/>
    <w:rsid w:val="00E508E1"/>
    <w:rsid w:val="00E51D1C"/>
    <w:rsid w:val="00E51F9E"/>
    <w:rsid w:val="00E5245C"/>
    <w:rsid w:val="00E52CA5"/>
    <w:rsid w:val="00E52CAE"/>
    <w:rsid w:val="00E52EFE"/>
    <w:rsid w:val="00E53498"/>
    <w:rsid w:val="00E537A4"/>
    <w:rsid w:val="00E53EAB"/>
    <w:rsid w:val="00E53F2A"/>
    <w:rsid w:val="00E542E6"/>
    <w:rsid w:val="00E54A8A"/>
    <w:rsid w:val="00E55152"/>
    <w:rsid w:val="00E551E1"/>
    <w:rsid w:val="00E5536D"/>
    <w:rsid w:val="00E5644F"/>
    <w:rsid w:val="00E5673B"/>
    <w:rsid w:val="00E56FDB"/>
    <w:rsid w:val="00E60439"/>
    <w:rsid w:val="00E614CF"/>
    <w:rsid w:val="00E61552"/>
    <w:rsid w:val="00E61BE2"/>
    <w:rsid w:val="00E61FF7"/>
    <w:rsid w:val="00E621B2"/>
    <w:rsid w:val="00E62277"/>
    <w:rsid w:val="00E6234A"/>
    <w:rsid w:val="00E62878"/>
    <w:rsid w:val="00E62BDF"/>
    <w:rsid w:val="00E63021"/>
    <w:rsid w:val="00E637A7"/>
    <w:rsid w:val="00E637C3"/>
    <w:rsid w:val="00E63EF3"/>
    <w:rsid w:val="00E64531"/>
    <w:rsid w:val="00E6476E"/>
    <w:rsid w:val="00E647E0"/>
    <w:rsid w:val="00E64E48"/>
    <w:rsid w:val="00E64E9B"/>
    <w:rsid w:val="00E65031"/>
    <w:rsid w:val="00E6532A"/>
    <w:rsid w:val="00E65E0C"/>
    <w:rsid w:val="00E66972"/>
    <w:rsid w:val="00E66BB5"/>
    <w:rsid w:val="00E66DD6"/>
    <w:rsid w:val="00E67465"/>
    <w:rsid w:val="00E678F7"/>
    <w:rsid w:val="00E67B8A"/>
    <w:rsid w:val="00E70158"/>
    <w:rsid w:val="00E706E1"/>
    <w:rsid w:val="00E719C6"/>
    <w:rsid w:val="00E71D8D"/>
    <w:rsid w:val="00E72018"/>
    <w:rsid w:val="00E72029"/>
    <w:rsid w:val="00E73920"/>
    <w:rsid w:val="00E73B25"/>
    <w:rsid w:val="00E74131"/>
    <w:rsid w:val="00E74468"/>
    <w:rsid w:val="00E74CA0"/>
    <w:rsid w:val="00E74F82"/>
    <w:rsid w:val="00E75219"/>
    <w:rsid w:val="00E752EA"/>
    <w:rsid w:val="00E75AEC"/>
    <w:rsid w:val="00E75F25"/>
    <w:rsid w:val="00E76076"/>
    <w:rsid w:val="00E761CB"/>
    <w:rsid w:val="00E77329"/>
    <w:rsid w:val="00E803EE"/>
    <w:rsid w:val="00E80C78"/>
    <w:rsid w:val="00E8143F"/>
    <w:rsid w:val="00E81476"/>
    <w:rsid w:val="00E8285F"/>
    <w:rsid w:val="00E82B14"/>
    <w:rsid w:val="00E82E8A"/>
    <w:rsid w:val="00E83BCA"/>
    <w:rsid w:val="00E83E97"/>
    <w:rsid w:val="00E84BAF"/>
    <w:rsid w:val="00E84F73"/>
    <w:rsid w:val="00E8519C"/>
    <w:rsid w:val="00E860ED"/>
    <w:rsid w:val="00E8768D"/>
    <w:rsid w:val="00E87701"/>
    <w:rsid w:val="00E90123"/>
    <w:rsid w:val="00E917F6"/>
    <w:rsid w:val="00E91974"/>
    <w:rsid w:val="00E91AAC"/>
    <w:rsid w:val="00E91B95"/>
    <w:rsid w:val="00E92140"/>
    <w:rsid w:val="00E924CA"/>
    <w:rsid w:val="00E9258F"/>
    <w:rsid w:val="00E92AAC"/>
    <w:rsid w:val="00E92E80"/>
    <w:rsid w:val="00E93F19"/>
    <w:rsid w:val="00E93F3E"/>
    <w:rsid w:val="00E941E3"/>
    <w:rsid w:val="00E948E8"/>
    <w:rsid w:val="00E94A6C"/>
    <w:rsid w:val="00E94D55"/>
    <w:rsid w:val="00E95E0B"/>
    <w:rsid w:val="00E95E23"/>
    <w:rsid w:val="00E95F32"/>
    <w:rsid w:val="00E96C0B"/>
    <w:rsid w:val="00E96E55"/>
    <w:rsid w:val="00E97393"/>
    <w:rsid w:val="00E976AA"/>
    <w:rsid w:val="00E97A5B"/>
    <w:rsid w:val="00E97ED7"/>
    <w:rsid w:val="00EA104E"/>
    <w:rsid w:val="00EA13DC"/>
    <w:rsid w:val="00EA19B8"/>
    <w:rsid w:val="00EA1A0B"/>
    <w:rsid w:val="00EA1DA0"/>
    <w:rsid w:val="00EA2059"/>
    <w:rsid w:val="00EA2745"/>
    <w:rsid w:val="00EA3069"/>
    <w:rsid w:val="00EA4DE7"/>
    <w:rsid w:val="00EA4FA3"/>
    <w:rsid w:val="00EA53FB"/>
    <w:rsid w:val="00EA5645"/>
    <w:rsid w:val="00EA566E"/>
    <w:rsid w:val="00EA5D0C"/>
    <w:rsid w:val="00EA6209"/>
    <w:rsid w:val="00EA65A3"/>
    <w:rsid w:val="00EA77A1"/>
    <w:rsid w:val="00EA7CB1"/>
    <w:rsid w:val="00EB00EE"/>
    <w:rsid w:val="00EB02B1"/>
    <w:rsid w:val="00EB0EDB"/>
    <w:rsid w:val="00EB1E3F"/>
    <w:rsid w:val="00EB1E5A"/>
    <w:rsid w:val="00EB2382"/>
    <w:rsid w:val="00EB294D"/>
    <w:rsid w:val="00EB3A16"/>
    <w:rsid w:val="00EB46F2"/>
    <w:rsid w:val="00EB47AC"/>
    <w:rsid w:val="00EB5400"/>
    <w:rsid w:val="00EB544E"/>
    <w:rsid w:val="00EB59CC"/>
    <w:rsid w:val="00EB5A3D"/>
    <w:rsid w:val="00EB5C1E"/>
    <w:rsid w:val="00EB5C46"/>
    <w:rsid w:val="00EB5D77"/>
    <w:rsid w:val="00EB658F"/>
    <w:rsid w:val="00EB6FD6"/>
    <w:rsid w:val="00EB7B5E"/>
    <w:rsid w:val="00EB7C7F"/>
    <w:rsid w:val="00EB7F28"/>
    <w:rsid w:val="00EC03F3"/>
    <w:rsid w:val="00EC0D8F"/>
    <w:rsid w:val="00EC0E11"/>
    <w:rsid w:val="00EC1100"/>
    <w:rsid w:val="00EC1248"/>
    <w:rsid w:val="00EC14EA"/>
    <w:rsid w:val="00EC24C7"/>
    <w:rsid w:val="00EC2D2C"/>
    <w:rsid w:val="00EC31C0"/>
    <w:rsid w:val="00EC373D"/>
    <w:rsid w:val="00EC380F"/>
    <w:rsid w:val="00EC5913"/>
    <w:rsid w:val="00EC5DE7"/>
    <w:rsid w:val="00EC66E8"/>
    <w:rsid w:val="00EC6A3D"/>
    <w:rsid w:val="00EC73A9"/>
    <w:rsid w:val="00EC7555"/>
    <w:rsid w:val="00ED0911"/>
    <w:rsid w:val="00ED1061"/>
    <w:rsid w:val="00ED10F3"/>
    <w:rsid w:val="00ED1135"/>
    <w:rsid w:val="00ED19CD"/>
    <w:rsid w:val="00ED1BFB"/>
    <w:rsid w:val="00ED22C3"/>
    <w:rsid w:val="00ED284A"/>
    <w:rsid w:val="00ED2A1A"/>
    <w:rsid w:val="00ED2B36"/>
    <w:rsid w:val="00ED2C78"/>
    <w:rsid w:val="00ED308C"/>
    <w:rsid w:val="00ED3D02"/>
    <w:rsid w:val="00ED3D58"/>
    <w:rsid w:val="00ED6AB3"/>
    <w:rsid w:val="00ED6AC4"/>
    <w:rsid w:val="00ED7115"/>
    <w:rsid w:val="00ED7847"/>
    <w:rsid w:val="00ED7ABC"/>
    <w:rsid w:val="00EE1312"/>
    <w:rsid w:val="00EE3107"/>
    <w:rsid w:val="00EE31C0"/>
    <w:rsid w:val="00EE374A"/>
    <w:rsid w:val="00EE4C03"/>
    <w:rsid w:val="00EE52CD"/>
    <w:rsid w:val="00EE5A98"/>
    <w:rsid w:val="00EE71BB"/>
    <w:rsid w:val="00EE7E68"/>
    <w:rsid w:val="00EE7EB8"/>
    <w:rsid w:val="00EF0252"/>
    <w:rsid w:val="00EF0A89"/>
    <w:rsid w:val="00EF1623"/>
    <w:rsid w:val="00EF2693"/>
    <w:rsid w:val="00EF2AA5"/>
    <w:rsid w:val="00EF2BA6"/>
    <w:rsid w:val="00EF33F7"/>
    <w:rsid w:val="00EF38B6"/>
    <w:rsid w:val="00EF39B0"/>
    <w:rsid w:val="00EF3BE8"/>
    <w:rsid w:val="00EF434B"/>
    <w:rsid w:val="00EF52D4"/>
    <w:rsid w:val="00EF579B"/>
    <w:rsid w:val="00EF649F"/>
    <w:rsid w:val="00EF6FC9"/>
    <w:rsid w:val="00EF70A2"/>
    <w:rsid w:val="00EF78E5"/>
    <w:rsid w:val="00EF7ED9"/>
    <w:rsid w:val="00F00929"/>
    <w:rsid w:val="00F00D2C"/>
    <w:rsid w:val="00F00E5F"/>
    <w:rsid w:val="00F020D2"/>
    <w:rsid w:val="00F02856"/>
    <w:rsid w:val="00F029FF"/>
    <w:rsid w:val="00F03459"/>
    <w:rsid w:val="00F0349B"/>
    <w:rsid w:val="00F047B4"/>
    <w:rsid w:val="00F04ABD"/>
    <w:rsid w:val="00F058E5"/>
    <w:rsid w:val="00F065FB"/>
    <w:rsid w:val="00F067E6"/>
    <w:rsid w:val="00F069C8"/>
    <w:rsid w:val="00F06BA6"/>
    <w:rsid w:val="00F071B3"/>
    <w:rsid w:val="00F0779A"/>
    <w:rsid w:val="00F10566"/>
    <w:rsid w:val="00F109AA"/>
    <w:rsid w:val="00F10B53"/>
    <w:rsid w:val="00F1284A"/>
    <w:rsid w:val="00F12FC6"/>
    <w:rsid w:val="00F13994"/>
    <w:rsid w:val="00F13D83"/>
    <w:rsid w:val="00F14077"/>
    <w:rsid w:val="00F14276"/>
    <w:rsid w:val="00F145FE"/>
    <w:rsid w:val="00F14A8F"/>
    <w:rsid w:val="00F15346"/>
    <w:rsid w:val="00F15432"/>
    <w:rsid w:val="00F15DB1"/>
    <w:rsid w:val="00F17419"/>
    <w:rsid w:val="00F176C2"/>
    <w:rsid w:val="00F17FAF"/>
    <w:rsid w:val="00F205E0"/>
    <w:rsid w:val="00F20AE3"/>
    <w:rsid w:val="00F20BB5"/>
    <w:rsid w:val="00F21E75"/>
    <w:rsid w:val="00F224D8"/>
    <w:rsid w:val="00F23105"/>
    <w:rsid w:val="00F23438"/>
    <w:rsid w:val="00F237B2"/>
    <w:rsid w:val="00F23C89"/>
    <w:rsid w:val="00F23E07"/>
    <w:rsid w:val="00F244D2"/>
    <w:rsid w:val="00F2465B"/>
    <w:rsid w:val="00F24956"/>
    <w:rsid w:val="00F249A2"/>
    <w:rsid w:val="00F2510D"/>
    <w:rsid w:val="00F25640"/>
    <w:rsid w:val="00F25FB6"/>
    <w:rsid w:val="00F26B5A"/>
    <w:rsid w:val="00F27AD9"/>
    <w:rsid w:val="00F27C4A"/>
    <w:rsid w:val="00F27C81"/>
    <w:rsid w:val="00F27D88"/>
    <w:rsid w:val="00F304AF"/>
    <w:rsid w:val="00F3065B"/>
    <w:rsid w:val="00F30824"/>
    <w:rsid w:val="00F30A12"/>
    <w:rsid w:val="00F31262"/>
    <w:rsid w:val="00F315DE"/>
    <w:rsid w:val="00F31F69"/>
    <w:rsid w:val="00F32CB5"/>
    <w:rsid w:val="00F348A5"/>
    <w:rsid w:val="00F34CCA"/>
    <w:rsid w:val="00F358D4"/>
    <w:rsid w:val="00F3609D"/>
    <w:rsid w:val="00F36289"/>
    <w:rsid w:val="00F36553"/>
    <w:rsid w:val="00F37BBC"/>
    <w:rsid w:val="00F37DB9"/>
    <w:rsid w:val="00F40317"/>
    <w:rsid w:val="00F40841"/>
    <w:rsid w:val="00F40914"/>
    <w:rsid w:val="00F41100"/>
    <w:rsid w:val="00F41214"/>
    <w:rsid w:val="00F421D9"/>
    <w:rsid w:val="00F42412"/>
    <w:rsid w:val="00F43863"/>
    <w:rsid w:val="00F438E0"/>
    <w:rsid w:val="00F4395B"/>
    <w:rsid w:val="00F43C60"/>
    <w:rsid w:val="00F43DB6"/>
    <w:rsid w:val="00F43FCE"/>
    <w:rsid w:val="00F44371"/>
    <w:rsid w:val="00F446DF"/>
    <w:rsid w:val="00F44778"/>
    <w:rsid w:val="00F44991"/>
    <w:rsid w:val="00F44D1D"/>
    <w:rsid w:val="00F45264"/>
    <w:rsid w:val="00F46C6C"/>
    <w:rsid w:val="00F46C75"/>
    <w:rsid w:val="00F476D0"/>
    <w:rsid w:val="00F47898"/>
    <w:rsid w:val="00F47AF3"/>
    <w:rsid w:val="00F50124"/>
    <w:rsid w:val="00F509B5"/>
    <w:rsid w:val="00F50EC8"/>
    <w:rsid w:val="00F51234"/>
    <w:rsid w:val="00F515F2"/>
    <w:rsid w:val="00F51AEC"/>
    <w:rsid w:val="00F51D50"/>
    <w:rsid w:val="00F524D8"/>
    <w:rsid w:val="00F526F3"/>
    <w:rsid w:val="00F52B06"/>
    <w:rsid w:val="00F52BCC"/>
    <w:rsid w:val="00F52DB6"/>
    <w:rsid w:val="00F5300E"/>
    <w:rsid w:val="00F5313E"/>
    <w:rsid w:val="00F533A6"/>
    <w:rsid w:val="00F5362C"/>
    <w:rsid w:val="00F53893"/>
    <w:rsid w:val="00F54815"/>
    <w:rsid w:val="00F558B2"/>
    <w:rsid w:val="00F558C5"/>
    <w:rsid w:val="00F56BFC"/>
    <w:rsid w:val="00F575FA"/>
    <w:rsid w:val="00F6015C"/>
    <w:rsid w:val="00F607F4"/>
    <w:rsid w:val="00F609EE"/>
    <w:rsid w:val="00F61A86"/>
    <w:rsid w:val="00F6265E"/>
    <w:rsid w:val="00F62B56"/>
    <w:rsid w:val="00F63717"/>
    <w:rsid w:val="00F63F83"/>
    <w:rsid w:val="00F641A1"/>
    <w:rsid w:val="00F65248"/>
    <w:rsid w:val="00F652E6"/>
    <w:rsid w:val="00F66740"/>
    <w:rsid w:val="00F66899"/>
    <w:rsid w:val="00F670C1"/>
    <w:rsid w:val="00F67CE6"/>
    <w:rsid w:val="00F67EE4"/>
    <w:rsid w:val="00F7033D"/>
    <w:rsid w:val="00F71C75"/>
    <w:rsid w:val="00F71E45"/>
    <w:rsid w:val="00F7210D"/>
    <w:rsid w:val="00F72A41"/>
    <w:rsid w:val="00F72E76"/>
    <w:rsid w:val="00F730B9"/>
    <w:rsid w:val="00F73339"/>
    <w:rsid w:val="00F73447"/>
    <w:rsid w:val="00F73658"/>
    <w:rsid w:val="00F74C14"/>
    <w:rsid w:val="00F75381"/>
    <w:rsid w:val="00F7563C"/>
    <w:rsid w:val="00F76759"/>
    <w:rsid w:val="00F76E1C"/>
    <w:rsid w:val="00F76F86"/>
    <w:rsid w:val="00F7726F"/>
    <w:rsid w:val="00F772A8"/>
    <w:rsid w:val="00F8014D"/>
    <w:rsid w:val="00F804FF"/>
    <w:rsid w:val="00F80D12"/>
    <w:rsid w:val="00F80D13"/>
    <w:rsid w:val="00F8100A"/>
    <w:rsid w:val="00F8182D"/>
    <w:rsid w:val="00F81BE1"/>
    <w:rsid w:val="00F82B7C"/>
    <w:rsid w:val="00F82B92"/>
    <w:rsid w:val="00F82CEC"/>
    <w:rsid w:val="00F832E8"/>
    <w:rsid w:val="00F834CC"/>
    <w:rsid w:val="00F83C17"/>
    <w:rsid w:val="00F83C31"/>
    <w:rsid w:val="00F83DC9"/>
    <w:rsid w:val="00F848D9"/>
    <w:rsid w:val="00F84F58"/>
    <w:rsid w:val="00F858DC"/>
    <w:rsid w:val="00F85E0B"/>
    <w:rsid w:val="00F85FD7"/>
    <w:rsid w:val="00F8654F"/>
    <w:rsid w:val="00F8685B"/>
    <w:rsid w:val="00F8690D"/>
    <w:rsid w:val="00F869F1"/>
    <w:rsid w:val="00F8733F"/>
    <w:rsid w:val="00F875FC"/>
    <w:rsid w:val="00F90639"/>
    <w:rsid w:val="00F90D09"/>
    <w:rsid w:val="00F915A4"/>
    <w:rsid w:val="00F928FD"/>
    <w:rsid w:val="00F92AD1"/>
    <w:rsid w:val="00F92D93"/>
    <w:rsid w:val="00F93F8C"/>
    <w:rsid w:val="00F9493C"/>
    <w:rsid w:val="00F94DD0"/>
    <w:rsid w:val="00F952D4"/>
    <w:rsid w:val="00F95936"/>
    <w:rsid w:val="00F9648D"/>
    <w:rsid w:val="00F966BB"/>
    <w:rsid w:val="00F96852"/>
    <w:rsid w:val="00F968C8"/>
    <w:rsid w:val="00F96B7C"/>
    <w:rsid w:val="00F978F8"/>
    <w:rsid w:val="00F97A13"/>
    <w:rsid w:val="00F97C73"/>
    <w:rsid w:val="00F97D5F"/>
    <w:rsid w:val="00F97E6B"/>
    <w:rsid w:val="00FA035B"/>
    <w:rsid w:val="00FA0D67"/>
    <w:rsid w:val="00FA0E82"/>
    <w:rsid w:val="00FA0EBE"/>
    <w:rsid w:val="00FA116E"/>
    <w:rsid w:val="00FA25E4"/>
    <w:rsid w:val="00FA280A"/>
    <w:rsid w:val="00FA2B57"/>
    <w:rsid w:val="00FA498A"/>
    <w:rsid w:val="00FA53D3"/>
    <w:rsid w:val="00FA5594"/>
    <w:rsid w:val="00FA5831"/>
    <w:rsid w:val="00FA651B"/>
    <w:rsid w:val="00FA6B3F"/>
    <w:rsid w:val="00FA6F33"/>
    <w:rsid w:val="00FA7837"/>
    <w:rsid w:val="00FA787F"/>
    <w:rsid w:val="00FA7AFC"/>
    <w:rsid w:val="00FB03CA"/>
    <w:rsid w:val="00FB137C"/>
    <w:rsid w:val="00FB15CF"/>
    <w:rsid w:val="00FB26C0"/>
    <w:rsid w:val="00FB2995"/>
    <w:rsid w:val="00FB2D89"/>
    <w:rsid w:val="00FB2E45"/>
    <w:rsid w:val="00FB3824"/>
    <w:rsid w:val="00FB3EBA"/>
    <w:rsid w:val="00FB4C66"/>
    <w:rsid w:val="00FB4DD6"/>
    <w:rsid w:val="00FB4FB8"/>
    <w:rsid w:val="00FB53E9"/>
    <w:rsid w:val="00FB54FD"/>
    <w:rsid w:val="00FB567D"/>
    <w:rsid w:val="00FB58DF"/>
    <w:rsid w:val="00FB5A73"/>
    <w:rsid w:val="00FB5CF2"/>
    <w:rsid w:val="00FB60F5"/>
    <w:rsid w:val="00FB6D87"/>
    <w:rsid w:val="00FB7D02"/>
    <w:rsid w:val="00FB7D7E"/>
    <w:rsid w:val="00FC0539"/>
    <w:rsid w:val="00FC0737"/>
    <w:rsid w:val="00FC0C76"/>
    <w:rsid w:val="00FC0FDE"/>
    <w:rsid w:val="00FC109C"/>
    <w:rsid w:val="00FC1334"/>
    <w:rsid w:val="00FC1E61"/>
    <w:rsid w:val="00FC2541"/>
    <w:rsid w:val="00FC27AC"/>
    <w:rsid w:val="00FC2E2D"/>
    <w:rsid w:val="00FC33A7"/>
    <w:rsid w:val="00FC34FD"/>
    <w:rsid w:val="00FC3D46"/>
    <w:rsid w:val="00FC4511"/>
    <w:rsid w:val="00FC4618"/>
    <w:rsid w:val="00FC46D9"/>
    <w:rsid w:val="00FC48E7"/>
    <w:rsid w:val="00FC50B3"/>
    <w:rsid w:val="00FC55DF"/>
    <w:rsid w:val="00FC5F94"/>
    <w:rsid w:val="00FC68E8"/>
    <w:rsid w:val="00FC6ED4"/>
    <w:rsid w:val="00FC781E"/>
    <w:rsid w:val="00FC7A58"/>
    <w:rsid w:val="00FC7EA3"/>
    <w:rsid w:val="00FD045D"/>
    <w:rsid w:val="00FD1C02"/>
    <w:rsid w:val="00FD1D01"/>
    <w:rsid w:val="00FD1EF3"/>
    <w:rsid w:val="00FD29FB"/>
    <w:rsid w:val="00FD2C97"/>
    <w:rsid w:val="00FD2F35"/>
    <w:rsid w:val="00FD334E"/>
    <w:rsid w:val="00FD3E16"/>
    <w:rsid w:val="00FD469B"/>
    <w:rsid w:val="00FD4CF1"/>
    <w:rsid w:val="00FD4F26"/>
    <w:rsid w:val="00FD5C0D"/>
    <w:rsid w:val="00FD6021"/>
    <w:rsid w:val="00FD62EE"/>
    <w:rsid w:val="00FD65FA"/>
    <w:rsid w:val="00FD66E9"/>
    <w:rsid w:val="00FD6A9D"/>
    <w:rsid w:val="00FD6B6D"/>
    <w:rsid w:val="00FD7375"/>
    <w:rsid w:val="00FD75A8"/>
    <w:rsid w:val="00FD77F4"/>
    <w:rsid w:val="00FD787D"/>
    <w:rsid w:val="00FD7A9F"/>
    <w:rsid w:val="00FD7D7E"/>
    <w:rsid w:val="00FE0CAC"/>
    <w:rsid w:val="00FE120F"/>
    <w:rsid w:val="00FE2608"/>
    <w:rsid w:val="00FE2C4A"/>
    <w:rsid w:val="00FE3689"/>
    <w:rsid w:val="00FE3E64"/>
    <w:rsid w:val="00FE3EC3"/>
    <w:rsid w:val="00FE467B"/>
    <w:rsid w:val="00FE4AC7"/>
    <w:rsid w:val="00FE525A"/>
    <w:rsid w:val="00FE5550"/>
    <w:rsid w:val="00FE5F6F"/>
    <w:rsid w:val="00FE6DA4"/>
    <w:rsid w:val="00FE6DC5"/>
    <w:rsid w:val="00FE708C"/>
    <w:rsid w:val="00FE76CF"/>
    <w:rsid w:val="00FE77F2"/>
    <w:rsid w:val="00FE7C90"/>
    <w:rsid w:val="00FF0D5B"/>
    <w:rsid w:val="00FF1229"/>
    <w:rsid w:val="00FF149A"/>
    <w:rsid w:val="00FF1866"/>
    <w:rsid w:val="00FF27B1"/>
    <w:rsid w:val="00FF2947"/>
    <w:rsid w:val="00FF2B82"/>
    <w:rsid w:val="00FF3FCE"/>
    <w:rsid w:val="00FF45F3"/>
    <w:rsid w:val="00FF462C"/>
    <w:rsid w:val="00FF4B44"/>
    <w:rsid w:val="00FF595B"/>
    <w:rsid w:val="00FF5993"/>
    <w:rsid w:val="00FF5DF6"/>
    <w:rsid w:val="00FF5EF2"/>
    <w:rsid w:val="00FF5F84"/>
    <w:rsid w:val="00FF633C"/>
    <w:rsid w:val="00FF709F"/>
    <w:rsid w:val="00FF73E6"/>
    <w:rsid w:val="00FF7946"/>
    <w:rsid w:val="00FF79E1"/>
    <w:rsid w:val="00FF7D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F7137B"/>
  <w15:docId w15:val="{0F10434D-927B-47A0-B7D2-A47D217F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47D7"/>
    <w:pPr>
      <w:spacing w:after="200" w:line="276" w:lineRule="auto"/>
    </w:pPr>
    <w:rPr>
      <w:rFonts w:ascii="Calibri" w:hAnsi="Calibri" w:cs="Calibri"/>
      <w:sz w:val="22"/>
      <w:szCs w:val="22"/>
      <w:lang w:eastAsia="en-US"/>
    </w:rPr>
  </w:style>
  <w:style w:type="paragraph" w:styleId="Titolo3">
    <w:name w:val="heading 3"/>
    <w:basedOn w:val="Normale"/>
    <w:link w:val="Titolo3Carattere"/>
    <w:uiPriority w:val="9"/>
    <w:qFormat/>
    <w:rsid w:val="00667E3A"/>
    <w:pPr>
      <w:spacing w:before="100" w:beforeAutospacing="1" w:after="100" w:afterAutospacing="1" w:line="240" w:lineRule="auto"/>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semiHidden/>
    <w:rsid w:val="00453A12"/>
    <w:rPr>
      <w:rFonts w:ascii="Cambria" w:eastAsia="Times New Roman" w:hAnsi="Cambria" w:cs="Times New Roman"/>
      <w:b/>
      <w:bCs/>
      <w:sz w:val="26"/>
      <w:szCs w:val="26"/>
      <w:lang w:eastAsia="en-US"/>
    </w:rPr>
  </w:style>
  <w:style w:type="paragraph" w:customStyle="1" w:styleId="Tdd4titolocorsivo">
    <w:name w:val="Tdd_4_titolo corsivo"/>
    <w:basedOn w:val="Normale"/>
    <w:next w:val="Normale"/>
    <w:uiPriority w:val="99"/>
    <w:semiHidden/>
    <w:rsid w:val="00DA16BD"/>
    <w:pPr>
      <w:spacing w:before="240" w:after="120"/>
      <w:jc w:val="both"/>
    </w:pPr>
    <w:rPr>
      <w:i/>
    </w:rPr>
  </w:style>
  <w:style w:type="paragraph" w:customStyle="1" w:styleId="Tdd6glossario">
    <w:name w:val="Tdd_6_glossario"/>
    <w:basedOn w:val="Normale"/>
    <w:uiPriority w:val="99"/>
    <w:semiHidden/>
    <w:rsid w:val="00DA16BD"/>
    <w:pPr>
      <w:spacing w:after="40"/>
      <w:ind w:left="397" w:hanging="397"/>
      <w:jc w:val="both"/>
    </w:pPr>
  </w:style>
  <w:style w:type="paragraph" w:customStyle="1" w:styleId="Tdd5notafondopagina">
    <w:name w:val="Tdd_5_nota fondo pagina"/>
    <w:basedOn w:val="Normale"/>
    <w:uiPriority w:val="99"/>
    <w:semiHidden/>
    <w:rsid w:val="005A3F4C"/>
    <w:pPr>
      <w:spacing w:after="20"/>
      <w:ind w:left="113" w:hanging="113"/>
      <w:jc w:val="both"/>
    </w:pPr>
    <w:rPr>
      <w:sz w:val="16"/>
    </w:rPr>
  </w:style>
  <w:style w:type="paragraph" w:styleId="Testonotaapidipagina">
    <w:name w:val="footnote text"/>
    <w:basedOn w:val="Normale"/>
    <w:link w:val="TestonotaapidipaginaCarattere"/>
    <w:uiPriority w:val="99"/>
    <w:semiHidden/>
    <w:rsid w:val="005A3F4C"/>
    <w:rPr>
      <w:rFonts w:cs="Times New Roman"/>
      <w:sz w:val="20"/>
      <w:szCs w:val="20"/>
    </w:rPr>
  </w:style>
  <w:style w:type="character" w:customStyle="1" w:styleId="TestonotaapidipaginaCarattere">
    <w:name w:val="Testo nota a piè di pagina Carattere"/>
    <w:link w:val="Testonotaapidipagina"/>
    <w:uiPriority w:val="99"/>
    <w:semiHidden/>
    <w:rsid w:val="00453A12"/>
    <w:rPr>
      <w:rFonts w:ascii="Calibri" w:hAnsi="Calibri" w:cs="Calibri"/>
      <w:sz w:val="20"/>
      <w:szCs w:val="20"/>
      <w:lang w:eastAsia="en-US"/>
    </w:rPr>
  </w:style>
  <w:style w:type="paragraph" w:customStyle="1" w:styleId="ezeotesto">
    <w:name w:val="ezeo_testo"/>
    <w:uiPriority w:val="99"/>
    <w:semiHidden/>
    <w:rsid w:val="00C8538B"/>
    <w:pPr>
      <w:spacing w:before="120"/>
      <w:jc w:val="both"/>
    </w:pPr>
    <w:rPr>
      <w:rFonts w:ascii="Verdana" w:hAnsi="Verdana"/>
      <w:sz w:val="18"/>
      <w:lang w:eastAsia="fr-FR"/>
    </w:rPr>
  </w:style>
  <w:style w:type="paragraph" w:styleId="Intestazione">
    <w:name w:val="header"/>
    <w:basedOn w:val="Normale"/>
    <w:link w:val="IntestazioneCarattere"/>
    <w:uiPriority w:val="99"/>
    <w:semiHidden/>
    <w:rsid w:val="003F1849"/>
    <w:pPr>
      <w:tabs>
        <w:tab w:val="center" w:pos="4819"/>
        <w:tab w:val="right" w:pos="9638"/>
      </w:tabs>
    </w:pPr>
    <w:rPr>
      <w:rFonts w:cs="Times New Roman"/>
      <w:sz w:val="20"/>
      <w:szCs w:val="20"/>
    </w:rPr>
  </w:style>
  <w:style w:type="character" w:customStyle="1" w:styleId="IntestazioneCarattere">
    <w:name w:val="Intestazione Carattere"/>
    <w:link w:val="Intestazione"/>
    <w:uiPriority w:val="99"/>
    <w:semiHidden/>
    <w:rsid w:val="00453A12"/>
    <w:rPr>
      <w:rFonts w:ascii="Calibri" w:hAnsi="Calibri" w:cs="Calibri"/>
      <w:lang w:eastAsia="en-US"/>
    </w:rPr>
  </w:style>
  <w:style w:type="character" w:customStyle="1" w:styleId="02bissottotitoloneCarattere">
    <w:name w:val="02bis_sottotitolone Carattere"/>
    <w:link w:val="02bissottotitolone"/>
    <w:uiPriority w:val="99"/>
    <w:locked/>
    <w:rsid w:val="00080FD3"/>
    <w:rPr>
      <w:rFonts w:ascii="Arial" w:hAnsi="Arial" w:cs="Arial"/>
      <w:b/>
      <w:bCs/>
      <w:caps/>
      <w:color w:val="5F5F5F"/>
      <w:sz w:val="24"/>
      <w:szCs w:val="24"/>
      <w:lang w:eastAsia="en-US"/>
    </w:rPr>
  </w:style>
  <w:style w:type="paragraph" w:customStyle="1" w:styleId="Paragrafoelenco1">
    <w:name w:val="Paragrafo elenco1"/>
    <w:basedOn w:val="Normale"/>
    <w:uiPriority w:val="99"/>
    <w:semiHidden/>
    <w:rsid w:val="002B2A1E"/>
    <w:pPr>
      <w:ind w:left="720"/>
      <w:contextualSpacing/>
    </w:pPr>
  </w:style>
  <w:style w:type="table" w:styleId="Grigliatabella">
    <w:name w:val="Table Grid"/>
    <w:basedOn w:val="Tabellanormale"/>
    <w:uiPriority w:val="59"/>
    <w:rsid w:val="002B2A1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numeropagina">
    <w:name w:val="09_numero pagina"/>
    <w:basedOn w:val="Normale"/>
    <w:uiPriority w:val="99"/>
    <w:rsid w:val="00A62857"/>
    <w:pPr>
      <w:framePr w:wrap="around" w:vAnchor="text" w:hAnchor="margin" w:xAlign="outside" w:y="1"/>
      <w:spacing w:after="0" w:line="320" w:lineRule="exact"/>
    </w:pPr>
    <w:rPr>
      <w:rFonts w:ascii="Arial Narrow" w:hAnsi="Arial Narrow"/>
    </w:rPr>
  </w:style>
  <w:style w:type="character" w:styleId="Rimandonotaapidipagina">
    <w:name w:val="footnote reference"/>
    <w:uiPriority w:val="99"/>
    <w:semiHidden/>
    <w:rsid w:val="00667E3A"/>
    <w:rPr>
      <w:rFonts w:cs="Times New Roman"/>
      <w:vertAlign w:val="superscript"/>
    </w:rPr>
  </w:style>
  <w:style w:type="character" w:styleId="Collegamentoipertestuale">
    <w:name w:val="Hyperlink"/>
    <w:uiPriority w:val="99"/>
    <w:semiHidden/>
    <w:rsid w:val="00667E3A"/>
    <w:rPr>
      <w:rFonts w:cs="Times New Roman"/>
      <w:color w:val="0000FF"/>
      <w:u w:val="single"/>
    </w:rPr>
  </w:style>
  <w:style w:type="paragraph" w:customStyle="1" w:styleId="02titolone">
    <w:name w:val="02_titolone"/>
    <w:basedOn w:val="Normale"/>
    <w:uiPriority w:val="99"/>
    <w:rsid w:val="0006330B"/>
    <w:pPr>
      <w:spacing w:after="120" w:line="240" w:lineRule="auto"/>
      <w:ind w:left="1814"/>
    </w:pPr>
    <w:rPr>
      <w:rFonts w:ascii="Arial Narrow" w:hAnsi="Arial Narrow"/>
      <w:b/>
      <w:bCs/>
      <w:caps/>
      <w:color w:val="5F5F5F"/>
      <w:spacing w:val="-10"/>
      <w:sz w:val="40"/>
      <w:szCs w:val="44"/>
    </w:rPr>
  </w:style>
  <w:style w:type="paragraph" w:customStyle="1" w:styleId="02terperiodoriferimento">
    <w:name w:val="02ter_periodo riferimento"/>
    <w:basedOn w:val="Normale"/>
    <w:uiPriority w:val="99"/>
    <w:rsid w:val="00C73F6E"/>
    <w:pPr>
      <w:spacing w:after="120" w:line="240" w:lineRule="auto"/>
      <w:jc w:val="both"/>
    </w:pPr>
    <w:rPr>
      <w:rFonts w:ascii="Arial" w:hAnsi="Arial" w:cs="Arial"/>
      <w:spacing w:val="-2"/>
      <w:sz w:val="28"/>
      <w:szCs w:val="28"/>
    </w:rPr>
  </w:style>
  <w:style w:type="paragraph" w:customStyle="1" w:styleId="02bissottotitolone">
    <w:name w:val="02bis_sottotitolone"/>
    <w:basedOn w:val="Normale"/>
    <w:link w:val="02bissottotitoloneCarattere"/>
    <w:uiPriority w:val="99"/>
    <w:rsid w:val="00080FD3"/>
    <w:pPr>
      <w:spacing w:after="120" w:line="240" w:lineRule="auto"/>
      <w:ind w:left="1814"/>
    </w:pPr>
    <w:rPr>
      <w:rFonts w:ascii="Arial" w:hAnsi="Arial" w:cs="Arial"/>
      <w:b/>
      <w:bCs/>
      <w:caps/>
      <w:color w:val="5F5F5F"/>
      <w:sz w:val="24"/>
      <w:szCs w:val="24"/>
    </w:rPr>
  </w:style>
  <w:style w:type="paragraph" w:customStyle="1" w:styleId="01testo">
    <w:name w:val="01_testo"/>
    <w:basedOn w:val="Normale"/>
    <w:link w:val="01testoCarattere"/>
    <w:uiPriority w:val="99"/>
    <w:qFormat/>
    <w:rsid w:val="00C977F1"/>
    <w:pPr>
      <w:spacing w:after="120" w:line="240" w:lineRule="auto"/>
      <w:ind w:left="1814"/>
      <w:jc w:val="both"/>
    </w:pPr>
    <w:rPr>
      <w:rFonts w:ascii="Arial" w:hAnsi="Arial" w:cs="Arial"/>
      <w:iCs/>
      <w:sz w:val="20"/>
      <w:szCs w:val="20"/>
    </w:rPr>
  </w:style>
  <w:style w:type="paragraph" w:customStyle="1" w:styleId="012titoloparagrafo">
    <w:name w:val="012_titolo paragrafo"/>
    <w:basedOn w:val="Normale"/>
    <w:uiPriority w:val="99"/>
    <w:rsid w:val="00B220ED"/>
    <w:pPr>
      <w:spacing w:before="360" w:after="120" w:line="240" w:lineRule="auto"/>
      <w:ind w:left="1814"/>
      <w:jc w:val="both"/>
    </w:pPr>
    <w:rPr>
      <w:rFonts w:ascii="Arial" w:hAnsi="Arial" w:cs="Arial"/>
      <w:b/>
      <w:spacing w:val="-2"/>
    </w:rPr>
  </w:style>
  <w:style w:type="paragraph" w:customStyle="1" w:styleId="016elencoquadrettoverde">
    <w:name w:val="016_elenco quadretto verde"/>
    <w:basedOn w:val="Normale"/>
    <w:uiPriority w:val="99"/>
    <w:rsid w:val="003568E5"/>
    <w:pPr>
      <w:numPr>
        <w:numId w:val="1"/>
      </w:numPr>
      <w:spacing w:after="120" w:line="240" w:lineRule="auto"/>
      <w:jc w:val="both"/>
    </w:pPr>
    <w:rPr>
      <w:rFonts w:ascii="Arial" w:hAnsi="Arial" w:cs="Arial"/>
      <w:iCs/>
      <w:sz w:val="20"/>
      <w:szCs w:val="19"/>
    </w:rPr>
  </w:style>
  <w:style w:type="paragraph" w:customStyle="1" w:styleId="017elencotriangolo">
    <w:name w:val="017_elenco triangolo"/>
    <w:basedOn w:val="Normale"/>
    <w:uiPriority w:val="99"/>
    <w:rsid w:val="005A43AB"/>
    <w:pPr>
      <w:numPr>
        <w:ilvl w:val="1"/>
        <w:numId w:val="3"/>
      </w:numPr>
      <w:spacing w:after="120" w:line="240" w:lineRule="auto"/>
      <w:jc w:val="both"/>
    </w:pPr>
    <w:rPr>
      <w:rFonts w:ascii="Arial" w:hAnsi="Arial" w:cs="Arial"/>
      <w:iCs/>
      <w:sz w:val="20"/>
      <w:szCs w:val="19"/>
    </w:rPr>
  </w:style>
  <w:style w:type="paragraph" w:customStyle="1" w:styleId="051tabella-figuratitolo">
    <w:name w:val="051_tabella-figura titolo"/>
    <w:basedOn w:val="Normale"/>
    <w:next w:val="052tabella-figurasottotitolo"/>
    <w:uiPriority w:val="99"/>
    <w:rsid w:val="00F641A1"/>
    <w:pPr>
      <w:tabs>
        <w:tab w:val="left" w:pos="284"/>
        <w:tab w:val="right" w:pos="7938"/>
      </w:tabs>
      <w:autoSpaceDE w:val="0"/>
      <w:autoSpaceDN w:val="0"/>
      <w:adjustRightInd w:val="0"/>
      <w:spacing w:after="40" w:line="240" w:lineRule="auto"/>
      <w:ind w:left="1814"/>
    </w:pPr>
    <w:rPr>
      <w:rFonts w:ascii="Arial Narrow" w:hAnsi="Arial Narrow" w:cs="Arial"/>
      <w:b/>
      <w:iCs/>
      <w:noProof/>
      <w:color w:val="333333"/>
      <w:sz w:val="20"/>
      <w:szCs w:val="20"/>
    </w:rPr>
  </w:style>
  <w:style w:type="paragraph" w:customStyle="1" w:styleId="015elencoquadretto">
    <w:name w:val="015_elenco quadretto"/>
    <w:basedOn w:val="Normale"/>
    <w:uiPriority w:val="99"/>
    <w:rsid w:val="003568E5"/>
    <w:pPr>
      <w:numPr>
        <w:numId w:val="12"/>
      </w:numPr>
      <w:spacing w:after="120" w:line="240" w:lineRule="auto"/>
      <w:jc w:val="both"/>
    </w:pPr>
    <w:rPr>
      <w:rFonts w:ascii="Arial" w:hAnsi="Arial" w:cs="Arial"/>
      <w:iCs/>
      <w:sz w:val="20"/>
      <w:szCs w:val="19"/>
    </w:rPr>
  </w:style>
  <w:style w:type="paragraph" w:customStyle="1" w:styleId="052tabella-figurasottotitolo">
    <w:name w:val="052_tabella-figura sottotitolo"/>
    <w:basedOn w:val="Normale"/>
    <w:uiPriority w:val="99"/>
    <w:rsid w:val="00471A4C"/>
    <w:pPr>
      <w:tabs>
        <w:tab w:val="left" w:pos="567"/>
        <w:tab w:val="right" w:pos="7938"/>
      </w:tabs>
      <w:autoSpaceDE w:val="0"/>
      <w:autoSpaceDN w:val="0"/>
      <w:adjustRightInd w:val="0"/>
      <w:spacing w:after="40" w:line="240" w:lineRule="auto"/>
      <w:ind w:left="1814"/>
    </w:pPr>
    <w:rPr>
      <w:rFonts w:ascii="Arial Narrow" w:hAnsi="Arial Narrow" w:cs="Arial"/>
      <w:iCs/>
      <w:noProof/>
      <w:sz w:val="19"/>
      <w:szCs w:val="20"/>
    </w:rPr>
  </w:style>
  <w:style w:type="paragraph" w:customStyle="1" w:styleId="053tabella-figuratesto">
    <w:name w:val="053_tabella-figura testo"/>
    <w:basedOn w:val="Normale"/>
    <w:uiPriority w:val="99"/>
    <w:rsid w:val="00DC305F"/>
    <w:pPr>
      <w:spacing w:after="0" w:line="240" w:lineRule="auto"/>
      <w:jc w:val="right"/>
    </w:pPr>
    <w:rPr>
      <w:rFonts w:ascii="Arial Narrow" w:hAnsi="Arial Narrow"/>
      <w:sz w:val="18"/>
      <w:szCs w:val="18"/>
    </w:rPr>
  </w:style>
  <w:style w:type="paragraph" w:customStyle="1" w:styleId="054tabella-figuranote">
    <w:name w:val="054_tabella-figura note"/>
    <w:basedOn w:val="Normale"/>
    <w:link w:val="054tabella-figuranoteCarattereCarattere"/>
    <w:uiPriority w:val="99"/>
    <w:rsid w:val="00D32B31"/>
    <w:pPr>
      <w:spacing w:before="40" w:after="20" w:line="240" w:lineRule="auto"/>
      <w:ind w:left="2041" w:hanging="227"/>
      <w:jc w:val="both"/>
    </w:pPr>
    <w:rPr>
      <w:rFonts w:ascii="Arial Narrow" w:hAnsi="Arial Narrow" w:cs="Arial"/>
      <w:i/>
      <w:iCs/>
      <w:sz w:val="16"/>
      <w:szCs w:val="19"/>
    </w:rPr>
  </w:style>
  <w:style w:type="character" w:customStyle="1" w:styleId="054tabella-figuranoteCarattereCarattere">
    <w:name w:val="054_tabella-figura note Carattere Carattere"/>
    <w:link w:val="054tabella-figuranote"/>
    <w:uiPriority w:val="99"/>
    <w:locked/>
    <w:rsid w:val="00D32B31"/>
    <w:rPr>
      <w:rFonts w:ascii="Arial Narrow" w:hAnsi="Arial Narrow" w:cs="Arial"/>
      <w:i/>
      <w:iCs/>
      <w:sz w:val="16"/>
      <w:szCs w:val="19"/>
      <w:lang w:eastAsia="en-US"/>
    </w:rPr>
  </w:style>
  <w:style w:type="paragraph" w:customStyle="1" w:styleId="013titolosottoparagrafo">
    <w:name w:val="013_titolo sottoparagrafo"/>
    <w:basedOn w:val="Normale"/>
    <w:uiPriority w:val="99"/>
    <w:rsid w:val="00B220ED"/>
    <w:pPr>
      <w:spacing w:before="240" w:after="120" w:line="240" w:lineRule="auto"/>
      <w:ind w:left="1814"/>
    </w:pPr>
    <w:rPr>
      <w:rFonts w:ascii="Arial" w:hAnsi="Arial" w:cs="Arial"/>
      <w:bCs/>
      <w:i/>
      <w:szCs w:val="20"/>
    </w:rPr>
  </w:style>
  <w:style w:type="paragraph" w:customStyle="1" w:styleId="014notapipagina">
    <w:name w:val="014_nota piè pagina"/>
    <w:basedOn w:val="Normale"/>
    <w:uiPriority w:val="99"/>
    <w:rsid w:val="003568E5"/>
    <w:pPr>
      <w:spacing w:after="40" w:line="240" w:lineRule="auto"/>
      <w:jc w:val="both"/>
    </w:pPr>
    <w:rPr>
      <w:rFonts w:ascii="Arial" w:hAnsi="Arial" w:cs="Arial"/>
      <w:sz w:val="16"/>
      <w:szCs w:val="16"/>
    </w:rPr>
  </w:style>
  <w:style w:type="paragraph" w:styleId="Pidipagina">
    <w:name w:val="footer"/>
    <w:basedOn w:val="Normale"/>
    <w:link w:val="PidipaginaCarattere"/>
    <w:uiPriority w:val="99"/>
    <w:rsid w:val="00673EAE"/>
    <w:pPr>
      <w:tabs>
        <w:tab w:val="center" w:pos="4819"/>
        <w:tab w:val="right" w:pos="9638"/>
      </w:tabs>
    </w:pPr>
    <w:rPr>
      <w:rFonts w:cs="Times New Roman"/>
      <w:sz w:val="20"/>
      <w:szCs w:val="20"/>
    </w:rPr>
  </w:style>
  <w:style w:type="character" w:customStyle="1" w:styleId="PidipaginaCarattere">
    <w:name w:val="Piè di pagina Carattere"/>
    <w:link w:val="Pidipagina"/>
    <w:uiPriority w:val="99"/>
    <w:rsid w:val="00453A12"/>
    <w:rPr>
      <w:rFonts w:ascii="Calibri" w:hAnsi="Calibri" w:cs="Calibri"/>
      <w:lang w:eastAsia="en-US"/>
    </w:rPr>
  </w:style>
  <w:style w:type="paragraph" w:customStyle="1" w:styleId="019rigastretta">
    <w:name w:val="019_riga stretta"/>
    <w:basedOn w:val="01testo"/>
    <w:uiPriority w:val="99"/>
    <w:rsid w:val="006648D6"/>
    <w:pPr>
      <w:spacing w:after="0" w:line="140" w:lineRule="exact"/>
    </w:pPr>
  </w:style>
  <w:style w:type="paragraph" w:customStyle="1" w:styleId="09datapubblicazione">
    <w:name w:val="09_data pubblicazione"/>
    <w:basedOn w:val="Normale"/>
    <w:uiPriority w:val="99"/>
    <w:rsid w:val="0023545F"/>
    <w:rPr>
      <w:rFonts w:ascii="Arial Narrow" w:hAnsi="Arial Narrow"/>
      <w:b/>
      <w:color w:val="808080"/>
      <w:sz w:val="26"/>
      <w:szCs w:val="26"/>
    </w:rPr>
  </w:style>
  <w:style w:type="character" w:customStyle="1" w:styleId="01testoCarattere">
    <w:name w:val="01_testo Carattere"/>
    <w:link w:val="01testo"/>
    <w:uiPriority w:val="99"/>
    <w:locked/>
    <w:rsid w:val="00C977F1"/>
    <w:rPr>
      <w:rFonts w:ascii="Arial" w:hAnsi="Arial" w:cs="Arial"/>
      <w:iCs/>
      <w:lang w:eastAsia="en-US"/>
    </w:rPr>
  </w:style>
  <w:style w:type="paragraph" w:styleId="Testofumetto">
    <w:name w:val="Balloon Text"/>
    <w:basedOn w:val="Normale"/>
    <w:link w:val="TestofumettoCarattere"/>
    <w:uiPriority w:val="99"/>
    <w:rsid w:val="00D443CC"/>
    <w:pPr>
      <w:spacing w:after="0" w:line="240" w:lineRule="auto"/>
    </w:pPr>
    <w:rPr>
      <w:rFonts w:ascii="Tahoma" w:hAnsi="Tahoma" w:cs="Times New Roman"/>
      <w:sz w:val="16"/>
      <w:szCs w:val="16"/>
    </w:rPr>
  </w:style>
  <w:style w:type="character" w:customStyle="1" w:styleId="TestofumettoCarattere">
    <w:name w:val="Testo fumetto Carattere"/>
    <w:link w:val="Testofumetto"/>
    <w:uiPriority w:val="99"/>
    <w:locked/>
    <w:rsid w:val="00D443CC"/>
    <w:rPr>
      <w:rFonts w:ascii="Tahoma" w:hAnsi="Tahoma" w:cs="Tahoma"/>
      <w:sz w:val="16"/>
      <w:szCs w:val="16"/>
      <w:lang w:eastAsia="en-US"/>
    </w:rPr>
  </w:style>
  <w:style w:type="character" w:styleId="Rimandocommento">
    <w:name w:val="annotation reference"/>
    <w:uiPriority w:val="99"/>
    <w:rsid w:val="00D443CC"/>
    <w:rPr>
      <w:rFonts w:cs="Times New Roman"/>
      <w:sz w:val="16"/>
      <w:szCs w:val="16"/>
    </w:rPr>
  </w:style>
  <w:style w:type="paragraph" w:styleId="Testocommento">
    <w:name w:val="annotation text"/>
    <w:basedOn w:val="Normale"/>
    <w:link w:val="TestocommentoCarattere"/>
    <w:uiPriority w:val="99"/>
    <w:rsid w:val="00D443CC"/>
    <w:pPr>
      <w:spacing w:line="240" w:lineRule="auto"/>
    </w:pPr>
    <w:rPr>
      <w:rFonts w:cs="Times New Roman"/>
      <w:sz w:val="20"/>
      <w:szCs w:val="20"/>
    </w:rPr>
  </w:style>
  <w:style w:type="character" w:customStyle="1" w:styleId="TestocommentoCarattere">
    <w:name w:val="Testo commento Carattere"/>
    <w:link w:val="Testocommento"/>
    <w:uiPriority w:val="99"/>
    <w:locked/>
    <w:rsid w:val="00D443CC"/>
    <w:rPr>
      <w:rFonts w:ascii="Calibri" w:hAnsi="Calibri" w:cs="Calibri"/>
      <w:lang w:eastAsia="en-US"/>
    </w:rPr>
  </w:style>
  <w:style w:type="paragraph" w:styleId="Soggettocommento">
    <w:name w:val="annotation subject"/>
    <w:basedOn w:val="Testocommento"/>
    <w:next w:val="Testocommento"/>
    <w:link w:val="SoggettocommentoCarattere"/>
    <w:uiPriority w:val="99"/>
    <w:rsid w:val="00D443CC"/>
    <w:rPr>
      <w:b/>
      <w:bCs/>
    </w:rPr>
  </w:style>
  <w:style w:type="character" w:customStyle="1" w:styleId="SoggettocommentoCarattere">
    <w:name w:val="Soggetto commento Carattere"/>
    <w:link w:val="Soggettocommento"/>
    <w:uiPriority w:val="99"/>
    <w:locked/>
    <w:rsid w:val="00D443CC"/>
    <w:rPr>
      <w:rFonts w:ascii="Calibri" w:hAnsi="Calibri" w:cs="Calibri"/>
      <w:b/>
      <w:bCs/>
      <w:lang w:eastAsia="en-US"/>
    </w:rPr>
  </w:style>
  <w:style w:type="paragraph" w:styleId="Paragrafoelenco">
    <w:name w:val="List Paragraph"/>
    <w:basedOn w:val="Normale"/>
    <w:uiPriority w:val="99"/>
    <w:qFormat/>
    <w:rsid w:val="00A71A0C"/>
    <w:pPr>
      <w:ind w:left="720"/>
      <w:contextualSpacing/>
    </w:pPr>
  </w:style>
  <w:style w:type="paragraph" w:styleId="Revisione">
    <w:name w:val="Revision"/>
    <w:hidden/>
    <w:uiPriority w:val="99"/>
    <w:semiHidden/>
    <w:rsid w:val="002722CC"/>
    <w:rPr>
      <w:rFonts w:ascii="Calibri" w:hAnsi="Calibri" w:cs="Calibri"/>
      <w:sz w:val="22"/>
      <w:szCs w:val="22"/>
      <w:lang w:eastAsia="en-US"/>
    </w:rPr>
  </w:style>
  <w:style w:type="paragraph" w:customStyle="1" w:styleId="016elencoquadretto">
    <w:name w:val="016_elenco quadretto"/>
    <w:basedOn w:val="Normale"/>
    <w:uiPriority w:val="99"/>
    <w:rsid w:val="008378AE"/>
    <w:pPr>
      <w:tabs>
        <w:tab w:val="num" w:pos="357"/>
      </w:tabs>
      <w:spacing w:after="120"/>
    </w:pPr>
    <w:rPr>
      <w:rFonts w:cs="Arial"/>
      <w:iCs/>
      <w:szCs w:val="19"/>
    </w:rPr>
  </w:style>
  <w:style w:type="character" w:styleId="Enfasicorsivo">
    <w:name w:val="Emphasis"/>
    <w:qFormat/>
    <w:locked/>
    <w:rsid w:val="00952E6F"/>
    <w:rPr>
      <w:i/>
      <w:iCs/>
    </w:rPr>
  </w:style>
  <w:style w:type="paragraph" w:customStyle="1" w:styleId="Default">
    <w:name w:val="Default"/>
    <w:rsid w:val="009F6D03"/>
    <w:pPr>
      <w:autoSpaceDE w:val="0"/>
      <w:autoSpaceDN w:val="0"/>
      <w:adjustRightInd w:val="0"/>
    </w:pPr>
    <w:rPr>
      <w:rFonts w:ascii="Arial" w:eastAsia="Calibri" w:hAnsi="Arial" w:cs="Arial"/>
      <w:color w:val="000000"/>
      <w:sz w:val="24"/>
      <w:szCs w:val="24"/>
      <w:lang w:eastAsia="en-US"/>
    </w:rPr>
  </w:style>
  <w:style w:type="paragraph" w:customStyle="1" w:styleId="016formula">
    <w:name w:val="016_formula"/>
    <w:basedOn w:val="01testo"/>
    <w:qFormat/>
    <w:rsid w:val="00632447"/>
    <w:pPr>
      <w:spacing w:before="180" w:after="180"/>
      <w:jc w:val="center"/>
    </w:pPr>
    <w:rPr>
      <w:i/>
    </w:rPr>
  </w:style>
  <w:style w:type="paragraph" w:customStyle="1" w:styleId="09bibliografia">
    <w:name w:val="09_bibliografia"/>
    <w:basedOn w:val="01testo"/>
    <w:qFormat/>
    <w:rsid w:val="00632447"/>
    <w:rPr>
      <w:rFonts w:cs="Cambria"/>
      <w:szCs w:val="24"/>
      <w:lang w:val="en-US"/>
    </w:rPr>
  </w:style>
  <w:style w:type="character" w:styleId="Collegamentovisitato">
    <w:name w:val="FollowedHyperlink"/>
    <w:uiPriority w:val="99"/>
    <w:semiHidden/>
    <w:unhideWhenUsed/>
    <w:rsid w:val="00D06428"/>
    <w:rPr>
      <w:color w:val="800080"/>
      <w:u w:val="single"/>
    </w:rPr>
  </w:style>
  <w:style w:type="paragraph" w:styleId="NormaleWeb">
    <w:name w:val="Normal (Web)"/>
    <w:basedOn w:val="Normale"/>
    <w:uiPriority w:val="99"/>
    <w:unhideWhenUsed/>
    <w:rsid w:val="00C122BF"/>
    <w:pPr>
      <w:spacing w:before="100" w:beforeAutospacing="1" w:after="100" w:afterAutospacing="1" w:line="240" w:lineRule="auto"/>
    </w:pPr>
    <w:rPr>
      <w:rFonts w:ascii="Times New Roman" w:hAnsi="Times New Roman" w:cs="Times New Roman"/>
      <w:sz w:val="24"/>
      <w:szCs w:val="24"/>
      <w:lang w:eastAsia="it-IT"/>
    </w:rPr>
  </w:style>
  <w:style w:type="paragraph" w:customStyle="1" w:styleId="01testoapprof">
    <w:name w:val="01_testo_approf"/>
    <w:basedOn w:val="Normale"/>
    <w:link w:val="01testoapprofCarattere"/>
    <w:uiPriority w:val="99"/>
    <w:rsid w:val="00693023"/>
    <w:pPr>
      <w:spacing w:after="60" w:line="264" w:lineRule="auto"/>
      <w:ind w:left="284" w:right="284"/>
      <w:jc w:val="both"/>
    </w:pPr>
    <w:rPr>
      <w:rFonts w:ascii="Arial" w:hAnsi="Arial" w:cs="Arial"/>
      <w:iCs/>
      <w:sz w:val="20"/>
      <w:szCs w:val="20"/>
    </w:rPr>
  </w:style>
  <w:style w:type="character" w:customStyle="1" w:styleId="01testoapprofCarattere">
    <w:name w:val="01_testo_approf Carattere"/>
    <w:link w:val="01testoapprof"/>
    <w:uiPriority w:val="99"/>
    <w:locked/>
    <w:rsid w:val="00693023"/>
    <w:rPr>
      <w:rFonts w:ascii="Arial" w:hAnsi="Arial" w:cs="Arial"/>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20">
      <w:marLeft w:val="0"/>
      <w:marRight w:val="0"/>
      <w:marTop w:val="0"/>
      <w:marBottom w:val="0"/>
      <w:divBdr>
        <w:top w:val="none" w:sz="0" w:space="0" w:color="auto"/>
        <w:left w:val="none" w:sz="0" w:space="0" w:color="auto"/>
        <w:bottom w:val="none" w:sz="0" w:space="0" w:color="auto"/>
        <w:right w:val="none" w:sz="0" w:space="0" w:color="auto"/>
      </w:divBdr>
    </w:div>
    <w:div w:id="2784121">
      <w:marLeft w:val="0"/>
      <w:marRight w:val="0"/>
      <w:marTop w:val="0"/>
      <w:marBottom w:val="0"/>
      <w:divBdr>
        <w:top w:val="none" w:sz="0" w:space="0" w:color="auto"/>
        <w:left w:val="none" w:sz="0" w:space="0" w:color="auto"/>
        <w:bottom w:val="none" w:sz="0" w:space="0" w:color="auto"/>
        <w:right w:val="none" w:sz="0" w:space="0" w:color="auto"/>
      </w:divBdr>
    </w:div>
    <w:div w:id="2784122">
      <w:marLeft w:val="0"/>
      <w:marRight w:val="0"/>
      <w:marTop w:val="0"/>
      <w:marBottom w:val="0"/>
      <w:divBdr>
        <w:top w:val="none" w:sz="0" w:space="0" w:color="auto"/>
        <w:left w:val="none" w:sz="0" w:space="0" w:color="auto"/>
        <w:bottom w:val="none" w:sz="0" w:space="0" w:color="auto"/>
        <w:right w:val="none" w:sz="0" w:space="0" w:color="auto"/>
      </w:divBdr>
    </w:div>
    <w:div w:id="2784123">
      <w:marLeft w:val="0"/>
      <w:marRight w:val="0"/>
      <w:marTop w:val="0"/>
      <w:marBottom w:val="0"/>
      <w:divBdr>
        <w:top w:val="none" w:sz="0" w:space="0" w:color="auto"/>
        <w:left w:val="none" w:sz="0" w:space="0" w:color="auto"/>
        <w:bottom w:val="none" w:sz="0" w:space="0" w:color="auto"/>
        <w:right w:val="none" w:sz="0" w:space="0" w:color="auto"/>
      </w:divBdr>
    </w:div>
    <w:div w:id="2784124">
      <w:marLeft w:val="0"/>
      <w:marRight w:val="0"/>
      <w:marTop w:val="0"/>
      <w:marBottom w:val="0"/>
      <w:divBdr>
        <w:top w:val="none" w:sz="0" w:space="0" w:color="auto"/>
        <w:left w:val="none" w:sz="0" w:space="0" w:color="auto"/>
        <w:bottom w:val="none" w:sz="0" w:space="0" w:color="auto"/>
        <w:right w:val="none" w:sz="0" w:space="0" w:color="auto"/>
      </w:divBdr>
    </w:div>
    <w:div w:id="2784125">
      <w:marLeft w:val="0"/>
      <w:marRight w:val="0"/>
      <w:marTop w:val="0"/>
      <w:marBottom w:val="0"/>
      <w:divBdr>
        <w:top w:val="none" w:sz="0" w:space="0" w:color="auto"/>
        <w:left w:val="none" w:sz="0" w:space="0" w:color="auto"/>
        <w:bottom w:val="none" w:sz="0" w:space="0" w:color="auto"/>
        <w:right w:val="none" w:sz="0" w:space="0" w:color="auto"/>
      </w:divBdr>
    </w:div>
    <w:div w:id="2784126">
      <w:marLeft w:val="0"/>
      <w:marRight w:val="0"/>
      <w:marTop w:val="0"/>
      <w:marBottom w:val="0"/>
      <w:divBdr>
        <w:top w:val="none" w:sz="0" w:space="0" w:color="auto"/>
        <w:left w:val="none" w:sz="0" w:space="0" w:color="auto"/>
        <w:bottom w:val="none" w:sz="0" w:space="0" w:color="auto"/>
        <w:right w:val="none" w:sz="0" w:space="0" w:color="auto"/>
      </w:divBdr>
    </w:div>
    <w:div w:id="2784127">
      <w:marLeft w:val="0"/>
      <w:marRight w:val="0"/>
      <w:marTop w:val="0"/>
      <w:marBottom w:val="0"/>
      <w:divBdr>
        <w:top w:val="none" w:sz="0" w:space="0" w:color="auto"/>
        <w:left w:val="none" w:sz="0" w:space="0" w:color="auto"/>
        <w:bottom w:val="none" w:sz="0" w:space="0" w:color="auto"/>
        <w:right w:val="none" w:sz="0" w:space="0" w:color="auto"/>
      </w:divBdr>
    </w:div>
    <w:div w:id="2784128">
      <w:marLeft w:val="0"/>
      <w:marRight w:val="0"/>
      <w:marTop w:val="0"/>
      <w:marBottom w:val="0"/>
      <w:divBdr>
        <w:top w:val="none" w:sz="0" w:space="0" w:color="auto"/>
        <w:left w:val="none" w:sz="0" w:space="0" w:color="auto"/>
        <w:bottom w:val="none" w:sz="0" w:space="0" w:color="auto"/>
        <w:right w:val="none" w:sz="0" w:space="0" w:color="auto"/>
      </w:divBdr>
    </w:div>
    <w:div w:id="2784129">
      <w:marLeft w:val="0"/>
      <w:marRight w:val="0"/>
      <w:marTop w:val="0"/>
      <w:marBottom w:val="0"/>
      <w:divBdr>
        <w:top w:val="none" w:sz="0" w:space="0" w:color="auto"/>
        <w:left w:val="none" w:sz="0" w:space="0" w:color="auto"/>
        <w:bottom w:val="none" w:sz="0" w:space="0" w:color="auto"/>
        <w:right w:val="none" w:sz="0" w:space="0" w:color="auto"/>
      </w:divBdr>
    </w:div>
    <w:div w:id="2784130">
      <w:marLeft w:val="0"/>
      <w:marRight w:val="0"/>
      <w:marTop w:val="0"/>
      <w:marBottom w:val="0"/>
      <w:divBdr>
        <w:top w:val="none" w:sz="0" w:space="0" w:color="auto"/>
        <w:left w:val="none" w:sz="0" w:space="0" w:color="auto"/>
        <w:bottom w:val="none" w:sz="0" w:space="0" w:color="auto"/>
        <w:right w:val="none" w:sz="0" w:space="0" w:color="auto"/>
      </w:divBdr>
    </w:div>
    <w:div w:id="2784131">
      <w:marLeft w:val="0"/>
      <w:marRight w:val="0"/>
      <w:marTop w:val="0"/>
      <w:marBottom w:val="0"/>
      <w:divBdr>
        <w:top w:val="none" w:sz="0" w:space="0" w:color="auto"/>
        <w:left w:val="none" w:sz="0" w:space="0" w:color="auto"/>
        <w:bottom w:val="none" w:sz="0" w:space="0" w:color="auto"/>
        <w:right w:val="none" w:sz="0" w:space="0" w:color="auto"/>
      </w:divBdr>
    </w:div>
    <w:div w:id="87577940">
      <w:bodyDiv w:val="1"/>
      <w:marLeft w:val="0"/>
      <w:marRight w:val="0"/>
      <w:marTop w:val="0"/>
      <w:marBottom w:val="0"/>
      <w:divBdr>
        <w:top w:val="none" w:sz="0" w:space="0" w:color="auto"/>
        <w:left w:val="none" w:sz="0" w:space="0" w:color="auto"/>
        <w:bottom w:val="none" w:sz="0" w:space="0" w:color="auto"/>
        <w:right w:val="none" w:sz="0" w:space="0" w:color="auto"/>
      </w:divBdr>
    </w:div>
    <w:div w:id="117841202">
      <w:bodyDiv w:val="1"/>
      <w:marLeft w:val="0"/>
      <w:marRight w:val="0"/>
      <w:marTop w:val="0"/>
      <w:marBottom w:val="0"/>
      <w:divBdr>
        <w:top w:val="none" w:sz="0" w:space="0" w:color="auto"/>
        <w:left w:val="none" w:sz="0" w:space="0" w:color="auto"/>
        <w:bottom w:val="none" w:sz="0" w:space="0" w:color="auto"/>
        <w:right w:val="none" w:sz="0" w:space="0" w:color="auto"/>
      </w:divBdr>
    </w:div>
    <w:div w:id="242033706">
      <w:bodyDiv w:val="1"/>
      <w:marLeft w:val="0"/>
      <w:marRight w:val="0"/>
      <w:marTop w:val="0"/>
      <w:marBottom w:val="0"/>
      <w:divBdr>
        <w:top w:val="none" w:sz="0" w:space="0" w:color="auto"/>
        <w:left w:val="none" w:sz="0" w:space="0" w:color="auto"/>
        <w:bottom w:val="none" w:sz="0" w:space="0" w:color="auto"/>
        <w:right w:val="none" w:sz="0" w:space="0" w:color="auto"/>
      </w:divBdr>
    </w:div>
    <w:div w:id="479274141">
      <w:bodyDiv w:val="1"/>
      <w:marLeft w:val="0"/>
      <w:marRight w:val="0"/>
      <w:marTop w:val="0"/>
      <w:marBottom w:val="0"/>
      <w:divBdr>
        <w:top w:val="none" w:sz="0" w:space="0" w:color="auto"/>
        <w:left w:val="none" w:sz="0" w:space="0" w:color="auto"/>
        <w:bottom w:val="none" w:sz="0" w:space="0" w:color="auto"/>
        <w:right w:val="none" w:sz="0" w:space="0" w:color="auto"/>
      </w:divBdr>
    </w:div>
    <w:div w:id="825240160">
      <w:bodyDiv w:val="1"/>
      <w:marLeft w:val="0"/>
      <w:marRight w:val="0"/>
      <w:marTop w:val="0"/>
      <w:marBottom w:val="0"/>
      <w:divBdr>
        <w:top w:val="none" w:sz="0" w:space="0" w:color="auto"/>
        <w:left w:val="none" w:sz="0" w:space="0" w:color="auto"/>
        <w:bottom w:val="none" w:sz="0" w:space="0" w:color="auto"/>
        <w:right w:val="none" w:sz="0" w:space="0" w:color="auto"/>
      </w:divBdr>
    </w:div>
    <w:div w:id="844326113">
      <w:bodyDiv w:val="1"/>
      <w:marLeft w:val="0"/>
      <w:marRight w:val="0"/>
      <w:marTop w:val="0"/>
      <w:marBottom w:val="0"/>
      <w:divBdr>
        <w:top w:val="none" w:sz="0" w:space="0" w:color="auto"/>
        <w:left w:val="none" w:sz="0" w:space="0" w:color="auto"/>
        <w:bottom w:val="none" w:sz="0" w:space="0" w:color="auto"/>
        <w:right w:val="none" w:sz="0" w:space="0" w:color="auto"/>
      </w:divBdr>
    </w:div>
    <w:div w:id="848956436">
      <w:bodyDiv w:val="1"/>
      <w:marLeft w:val="0"/>
      <w:marRight w:val="0"/>
      <w:marTop w:val="0"/>
      <w:marBottom w:val="0"/>
      <w:divBdr>
        <w:top w:val="none" w:sz="0" w:space="0" w:color="auto"/>
        <w:left w:val="none" w:sz="0" w:space="0" w:color="auto"/>
        <w:bottom w:val="none" w:sz="0" w:space="0" w:color="auto"/>
        <w:right w:val="none" w:sz="0" w:space="0" w:color="auto"/>
      </w:divBdr>
    </w:div>
    <w:div w:id="930047960">
      <w:bodyDiv w:val="1"/>
      <w:marLeft w:val="0"/>
      <w:marRight w:val="0"/>
      <w:marTop w:val="0"/>
      <w:marBottom w:val="0"/>
      <w:divBdr>
        <w:top w:val="none" w:sz="0" w:space="0" w:color="auto"/>
        <w:left w:val="none" w:sz="0" w:space="0" w:color="auto"/>
        <w:bottom w:val="none" w:sz="0" w:space="0" w:color="auto"/>
        <w:right w:val="none" w:sz="0" w:space="0" w:color="auto"/>
      </w:divBdr>
    </w:div>
    <w:div w:id="1275401682">
      <w:bodyDiv w:val="1"/>
      <w:marLeft w:val="0"/>
      <w:marRight w:val="0"/>
      <w:marTop w:val="0"/>
      <w:marBottom w:val="0"/>
      <w:divBdr>
        <w:top w:val="none" w:sz="0" w:space="0" w:color="auto"/>
        <w:left w:val="none" w:sz="0" w:space="0" w:color="auto"/>
        <w:bottom w:val="none" w:sz="0" w:space="0" w:color="auto"/>
        <w:right w:val="none" w:sz="0" w:space="0" w:color="auto"/>
      </w:divBdr>
    </w:div>
    <w:div w:id="1567914888">
      <w:bodyDiv w:val="1"/>
      <w:marLeft w:val="0"/>
      <w:marRight w:val="0"/>
      <w:marTop w:val="0"/>
      <w:marBottom w:val="0"/>
      <w:divBdr>
        <w:top w:val="none" w:sz="0" w:space="0" w:color="auto"/>
        <w:left w:val="none" w:sz="0" w:space="0" w:color="auto"/>
        <w:bottom w:val="none" w:sz="0" w:space="0" w:color="auto"/>
        <w:right w:val="none" w:sz="0" w:space="0" w:color="auto"/>
      </w:divBdr>
    </w:div>
    <w:div w:id="1718624837">
      <w:bodyDiv w:val="1"/>
      <w:marLeft w:val="0"/>
      <w:marRight w:val="0"/>
      <w:marTop w:val="0"/>
      <w:marBottom w:val="0"/>
      <w:divBdr>
        <w:top w:val="none" w:sz="0" w:space="0" w:color="auto"/>
        <w:left w:val="none" w:sz="0" w:space="0" w:color="auto"/>
        <w:bottom w:val="none" w:sz="0" w:space="0" w:color="auto"/>
        <w:right w:val="none" w:sz="0" w:space="0" w:color="auto"/>
      </w:divBdr>
    </w:div>
    <w:div w:id="1724717319">
      <w:bodyDiv w:val="1"/>
      <w:marLeft w:val="0"/>
      <w:marRight w:val="0"/>
      <w:marTop w:val="0"/>
      <w:marBottom w:val="0"/>
      <w:divBdr>
        <w:top w:val="none" w:sz="0" w:space="0" w:color="auto"/>
        <w:left w:val="none" w:sz="0" w:space="0" w:color="auto"/>
        <w:bottom w:val="none" w:sz="0" w:space="0" w:color="auto"/>
        <w:right w:val="none" w:sz="0" w:space="0" w:color="auto"/>
      </w:divBdr>
    </w:div>
    <w:div w:id="1925067456">
      <w:bodyDiv w:val="1"/>
      <w:marLeft w:val="0"/>
      <w:marRight w:val="0"/>
      <w:marTop w:val="0"/>
      <w:marBottom w:val="0"/>
      <w:divBdr>
        <w:top w:val="none" w:sz="0" w:space="0" w:color="auto"/>
        <w:left w:val="none" w:sz="0" w:space="0" w:color="auto"/>
        <w:bottom w:val="none" w:sz="0" w:space="0" w:color="auto"/>
        <w:right w:val="none" w:sz="0" w:space="0" w:color="auto"/>
      </w:divBdr>
    </w:div>
    <w:div w:id="2020236037">
      <w:bodyDiv w:val="1"/>
      <w:marLeft w:val="0"/>
      <w:marRight w:val="0"/>
      <w:marTop w:val="0"/>
      <w:marBottom w:val="0"/>
      <w:divBdr>
        <w:top w:val="none" w:sz="0" w:space="0" w:color="auto"/>
        <w:left w:val="none" w:sz="0" w:space="0" w:color="auto"/>
        <w:bottom w:val="none" w:sz="0" w:space="0" w:color="auto"/>
        <w:right w:val="none" w:sz="0" w:space="0" w:color="auto"/>
      </w:divBdr>
    </w:div>
    <w:div w:id="2028746073">
      <w:bodyDiv w:val="1"/>
      <w:marLeft w:val="0"/>
      <w:marRight w:val="0"/>
      <w:marTop w:val="0"/>
      <w:marBottom w:val="0"/>
      <w:divBdr>
        <w:top w:val="none" w:sz="0" w:space="0" w:color="auto"/>
        <w:left w:val="none" w:sz="0" w:space="0" w:color="auto"/>
        <w:bottom w:val="none" w:sz="0" w:space="0" w:color="auto"/>
        <w:right w:val="none" w:sz="0" w:space="0" w:color="auto"/>
      </w:divBdr>
    </w:div>
    <w:div w:id="214415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stat.it/it/archivio/242505" TargetMode="External"/><Relationship Id="rId2" Type="http://schemas.openxmlformats.org/officeDocument/2006/relationships/hyperlink" Target="https://www.istat.it/it/archivio/241033" TargetMode="External"/><Relationship Id="rId1" Type="http://schemas.openxmlformats.org/officeDocument/2006/relationships/hyperlink" Target="https://www.istat.it/it/archivio/239854" TargetMode="External"/><Relationship Id="rId4" Type="http://schemas.openxmlformats.org/officeDocument/2006/relationships/hyperlink" Target="https://www.istat.it/it/archivio/2436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ncati\Desktop\previsioni_revEB1_fin.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776631944444444"/>
          <c:y val="7.3218029350104824E-2"/>
          <c:w val="0.78446736111111115"/>
          <c:h val="0.63405293501048221"/>
        </c:manualLayout>
      </c:layout>
      <c:lineChart>
        <c:grouping val="standard"/>
        <c:varyColors val="0"/>
        <c:ser>
          <c:idx val="0"/>
          <c:order val="1"/>
          <c:tx>
            <c:strRef>
              <c:f>'I.Stat export'!$J$16</c:f>
              <c:strCache>
                <c:ptCount val="1"/>
                <c:pt idx="0">
                  <c:v>Clima fiducia imprese</c:v>
                </c:pt>
              </c:strCache>
            </c:strRef>
          </c:tx>
          <c:spPr>
            <a:ln w="28574" cap="rnd">
              <a:solidFill>
                <a:schemeClr val="accent5"/>
              </a:solidFill>
              <a:round/>
            </a:ln>
            <a:effectLst/>
          </c:spPr>
          <c:marker>
            <c:symbol val="none"/>
          </c:marker>
          <c:cat>
            <c:strRef>
              <c:f>'I.Stat export'!$G$50:$G$59</c:f>
              <c:strCache>
                <c:ptCount val="10"/>
                <c:pt idx="0">
                  <c:v>T1-18</c:v>
                </c:pt>
                <c:pt idx="1">
                  <c:v>T2-18</c:v>
                </c:pt>
                <c:pt idx="2">
                  <c:v>T3-18</c:v>
                </c:pt>
                <c:pt idx="3">
                  <c:v>T4-18</c:v>
                </c:pt>
                <c:pt idx="4">
                  <c:v>T1-19</c:v>
                </c:pt>
                <c:pt idx="5">
                  <c:v>T2-19</c:v>
                </c:pt>
                <c:pt idx="6">
                  <c:v>T3-19</c:v>
                </c:pt>
                <c:pt idx="7">
                  <c:v>T4-19</c:v>
                </c:pt>
                <c:pt idx="8">
                  <c:v>T1-20</c:v>
                </c:pt>
                <c:pt idx="9">
                  <c:v>Mag 20</c:v>
                </c:pt>
              </c:strCache>
            </c:strRef>
          </c:cat>
          <c:val>
            <c:numRef>
              <c:f>'I.Stat export'!$J$50:$J$59</c:f>
              <c:numCache>
                <c:formatCode>General</c:formatCode>
                <c:ptCount val="10"/>
                <c:pt idx="0">
                  <c:v>106.3</c:v>
                </c:pt>
                <c:pt idx="1">
                  <c:v>104.7</c:v>
                </c:pt>
                <c:pt idx="2">
                  <c:v>103.7</c:v>
                </c:pt>
                <c:pt idx="3">
                  <c:v>100.7</c:v>
                </c:pt>
                <c:pt idx="4">
                  <c:v>98.7</c:v>
                </c:pt>
                <c:pt idx="5">
                  <c:v>99.6</c:v>
                </c:pt>
                <c:pt idx="6">
                  <c:v>99.7</c:v>
                </c:pt>
                <c:pt idx="7">
                  <c:v>99.5</c:v>
                </c:pt>
                <c:pt idx="8">
                  <c:v>92.8</c:v>
                </c:pt>
                <c:pt idx="9" formatCode="0.0">
                  <c:v>51.1</c:v>
                </c:pt>
              </c:numCache>
            </c:numRef>
          </c:val>
          <c:smooth val="0"/>
          <c:extLst>
            <c:ext xmlns:c16="http://schemas.microsoft.com/office/drawing/2014/chart" uri="{C3380CC4-5D6E-409C-BE32-E72D297353CC}">
              <c16:uniqueId val="{00000000-89DC-4E2F-8D08-530F3E40BB63}"/>
            </c:ext>
          </c:extLst>
        </c:ser>
        <c:dLbls>
          <c:showLegendKey val="0"/>
          <c:showVal val="0"/>
          <c:showCatName val="0"/>
          <c:showSerName val="0"/>
          <c:showPercent val="0"/>
          <c:showBubbleSize val="0"/>
        </c:dLbls>
        <c:marker val="1"/>
        <c:smooth val="0"/>
        <c:axId val="1931385488"/>
        <c:axId val="1"/>
      </c:lineChart>
      <c:lineChart>
        <c:grouping val="standard"/>
        <c:varyColors val="0"/>
        <c:ser>
          <c:idx val="2"/>
          <c:order val="0"/>
          <c:tx>
            <c:strRef>
              <c:f>'I.Stat export'!$M$17</c:f>
              <c:strCache>
                <c:ptCount val="1"/>
                <c:pt idx="0">
                  <c:v>Pil</c:v>
                </c:pt>
              </c:strCache>
            </c:strRef>
          </c:tx>
          <c:spPr>
            <a:ln w="25399" cap="rnd">
              <a:solidFill>
                <a:schemeClr val="accent6"/>
              </a:solidFill>
              <a:round/>
            </a:ln>
            <a:effectLst/>
          </c:spPr>
          <c:marker>
            <c:symbol val="none"/>
          </c:marker>
          <c:val>
            <c:numRef>
              <c:f>'I.Stat export'!$N$50:$N$58</c:f>
              <c:numCache>
                <c:formatCode>0.0</c:formatCode>
                <c:ptCount val="9"/>
                <c:pt idx="0">
                  <c:v>100.42578689684063</c:v>
                </c:pt>
                <c:pt idx="1">
                  <c:v>100.41339594814809</c:v>
                </c:pt>
                <c:pt idx="2">
                  <c:v>100.33750723219347</c:v>
                </c:pt>
                <c:pt idx="3">
                  <c:v>100.49202002447447</c:v>
                </c:pt>
                <c:pt idx="4">
                  <c:v>100.70975003423585</c:v>
                </c:pt>
                <c:pt idx="5">
                  <c:v>100.78346448938217</c:v>
                </c:pt>
                <c:pt idx="6">
                  <c:v>100.80920493185477</c:v>
                </c:pt>
                <c:pt idx="7">
                  <c:v>100.56458890134545</c:v>
                </c:pt>
                <c:pt idx="8">
                  <c:v>95.225188834843451</c:v>
                </c:pt>
              </c:numCache>
            </c:numRef>
          </c:val>
          <c:smooth val="0"/>
          <c:extLst>
            <c:ext xmlns:c16="http://schemas.microsoft.com/office/drawing/2014/chart" uri="{C3380CC4-5D6E-409C-BE32-E72D297353CC}">
              <c16:uniqueId val="{00000001-89DC-4E2F-8D08-530F3E40BB63}"/>
            </c:ext>
          </c:extLst>
        </c:ser>
        <c:dLbls>
          <c:showLegendKey val="0"/>
          <c:showVal val="0"/>
          <c:showCatName val="0"/>
          <c:showSerName val="0"/>
          <c:showPercent val="0"/>
          <c:showBubbleSize val="0"/>
        </c:dLbls>
        <c:marker val="1"/>
        <c:smooth val="0"/>
        <c:axId val="3"/>
        <c:axId val="4"/>
      </c:lineChart>
      <c:catAx>
        <c:axId val="1931385488"/>
        <c:scaling>
          <c:orientation val="minMax"/>
        </c:scaling>
        <c:delete val="0"/>
        <c:axPos val="b"/>
        <c:numFmt formatCode="General" sourceLinked="1"/>
        <c:majorTickMark val="none"/>
        <c:minorTickMark val="none"/>
        <c:tickLblPos val="nextTo"/>
        <c:spPr>
          <a:noFill/>
          <a:ln w="6350" cap="flat" cmpd="sng" algn="ctr">
            <a:solidFill>
              <a:schemeClr val="bg1">
                <a:lumMod val="50000"/>
              </a:schemeClr>
            </a:solidFill>
            <a:round/>
          </a:ln>
          <a:effectLst/>
        </c:spPr>
        <c:txPr>
          <a:bodyPr rot="-2400000" spcFirstLastPara="1" vertOverflow="ellipsis"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it-IT"/>
          </a:p>
        </c:txPr>
        <c:crossAx val="1"/>
        <c:crosses val="autoZero"/>
        <c:auto val="1"/>
        <c:lblAlgn val="ctr"/>
        <c:lblOffset val="100"/>
        <c:noMultiLvlLbl val="0"/>
      </c:catAx>
      <c:valAx>
        <c:axId val="1"/>
        <c:scaling>
          <c:orientation val="minMax"/>
          <c:max val="110"/>
          <c:min val="50"/>
        </c:scaling>
        <c:delete val="0"/>
        <c:axPos val="l"/>
        <c:majorGridlines>
          <c:spPr>
            <a:ln w="3175" cap="flat" cmpd="sng" algn="ctr">
              <a:solidFill>
                <a:schemeClr val="bg1">
                  <a:lumMod val="6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it-IT"/>
          </a:p>
        </c:txPr>
        <c:crossAx val="1931385488"/>
        <c:crosses val="autoZero"/>
        <c:crossBetween val="between"/>
      </c:valAx>
      <c:catAx>
        <c:axId val="3"/>
        <c:scaling>
          <c:orientation val="minMax"/>
        </c:scaling>
        <c:delete val="1"/>
        <c:axPos val="b"/>
        <c:majorTickMark val="out"/>
        <c:minorTickMark val="none"/>
        <c:tickLblPos val="nextTo"/>
        <c:crossAx val="4"/>
        <c:crosses val="autoZero"/>
        <c:auto val="1"/>
        <c:lblAlgn val="ctr"/>
        <c:lblOffset val="100"/>
        <c:noMultiLvlLbl val="0"/>
      </c:catAx>
      <c:valAx>
        <c:axId val="4"/>
        <c:scaling>
          <c:orientation val="minMax"/>
          <c:max val="101"/>
          <c:min val="91"/>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it-IT"/>
          </a:p>
        </c:txPr>
        <c:crossAx val="3"/>
        <c:crosses val="max"/>
        <c:crossBetween val="between"/>
        <c:majorUnit val="2"/>
      </c:valAx>
      <c:spPr>
        <a:noFill/>
        <a:ln w="25399">
          <a:noFill/>
        </a:ln>
      </c:spPr>
    </c:plotArea>
    <c:legend>
      <c:legendPos val="b"/>
      <c:layout>
        <c:manualLayout>
          <c:xMode val="edge"/>
          <c:yMode val="edge"/>
          <c:x val="8.5385480661071211E-2"/>
          <c:y val="0.88704846320439457"/>
          <c:w val="0.79806639554671055"/>
          <c:h val="9.9638856618332494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it-IT"/>
        </a:p>
      </c:txPr>
    </c:legend>
    <c:plotVisOnly val="1"/>
    <c:dispBlanksAs val="gap"/>
    <c:showDLblsOverMax val="0"/>
  </c:chart>
  <c:spPr>
    <a:solidFill>
      <a:schemeClr val="bg1"/>
    </a:solidFill>
    <a:ln>
      <a:noFill/>
    </a:ln>
    <a:effectLst/>
  </c:spPr>
  <c:txPr>
    <a:bodyPr/>
    <a:lstStyle/>
    <a:p>
      <a:pPr>
        <a:defRPr sz="800" baseline="0">
          <a:solidFill>
            <a:sysClr val="windowText" lastClr="000000"/>
          </a:solidFill>
          <a:latin typeface="Arial Narrow" panose="020B0606020202030204" pitchFamily="34" charset="0"/>
        </a:defRPr>
      </a:pPr>
      <a:endParaRPr lang="it-I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76631944444444"/>
          <c:y val="7.0555555555555552E-2"/>
          <c:w val="0.78446736111111115"/>
          <c:h val="0.63790483539094656"/>
        </c:manualLayout>
      </c:layout>
      <c:lineChart>
        <c:grouping val="standard"/>
        <c:varyColors val="0"/>
        <c:ser>
          <c:idx val="0"/>
          <c:order val="0"/>
          <c:tx>
            <c:strRef>
              <c:f>'I.Stat export'!$K$17</c:f>
              <c:strCache>
                <c:ptCount val="1"/>
                <c:pt idx="0">
                  <c:v>Clima fiducia consumatori</c:v>
                </c:pt>
              </c:strCache>
            </c:strRef>
          </c:tx>
          <c:spPr>
            <a:ln w="28575" cap="rnd">
              <a:solidFill>
                <a:schemeClr val="accent4"/>
              </a:solidFill>
              <a:round/>
            </a:ln>
            <a:effectLst/>
          </c:spPr>
          <c:marker>
            <c:symbol val="none"/>
          </c:marker>
          <c:cat>
            <c:strRef>
              <c:f>'I.Stat export'!$G$50:$G$59</c:f>
              <c:strCache>
                <c:ptCount val="10"/>
                <c:pt idx="0">
                  <c:v>T1-18</c:v>
                </c:pt>
                <c:pt idx="1">
                  <c:v>T2-18</c:v>
                </c:pt>
                <c:pt idx="2">
                  <c:v>T3-18</c:v>
                </c:pt>
                <c:pt idx="3">
                  <c:v>T4-18</c:v>
                </c:pt>
                <c:pt idx="4">
                  <c:v>T1-19</c:v>
                </c:pt>
                <c:pt idx="5">
                  <c:v>T2-19</c:v>
                </c:pt>
                <c:pt idx="6">
                  <c:v>T3-19</c:v>
                </c:pt>
                <c:pt idx="7">
                  <c:v>T4-19</c:v>
                </c:pt>
                <c:pt idx="8">
                  <c:v>T1-20</c:v>
                </c:pt>
                <c:pt idx="9">
                  <c:v>Mag 20</c:v>
                </c:pt>
              </c:strCache>
            </c:strRef>
          </c:cat>
          <c:val>
            <c:numRef>
              <c:f>'I.Stat export'!$K$50:$K$59</c:f>
              <c:numCache>
                <c:formatCode>General</c:formatCode>
                <c:ptCount val="10"/>
                <c:pt idx="0">
                  <c:v>115.7</c:v>
                </c:pt>
                <c:pt idx="1">
                  <c:v>116.3</c:v>
                </c:pt>
                <c:pt idx="2">
                  <c:v>115.9</c:v>
                </c:pt>
                <c:pt idx="3">
                  <c:v>114.6</c:v>
                </c:pt>
                <c:pt idx="4">
                  <c:v>111.9</c:v>
                </c:pt>
                <c:pt idx="5">
                  <c:v>111.3</c:v>
                </c:pt>
                <c:pt idx="6">
                  <c:v>112.7</c:v>
                </c:pt>
                <c:pt idx="7">
                  <c:v>110.1</c:v>
                </c:pt>
                <c:pt idx="8">
                  <c:v>107.2</c:v>
                </c:pt>
                <c:pt idx="9">
                  <c:v>94.3</c:v>
                </c:pt>
              </c:numCache>
            </c:numRef>
          </c:val>
          <c:smooth val="0"/>
          <c:extLst>
            <c:ext xmlns:c16="http://schemas.microsoft.com/office/drawing/2014/chart" uri="{C3380CC4-5D6E-409C-BE32-E72D297353CC}">
              <c16:uniqueId val="{00000000-7B8C-48AC-9CBB-305724D98DE1}"/>
            </c:ext>
          </c:extLst>
        </c:ser>
        <c:dLbls>
          <c:showLegendKey val="0"/>
          <c:showVal val="0"/>
          <c:showCatName val="0"/>
          <c:showSerName val="0"/>
          <c:showPercent val="0"/>
          <c:showBubbleSize val="0"/>
        </c:dLbls>
        <c:marker val="1"/>
        <c:smooth val="0"/>
        <c:axId val="810809696"/>
        <c:axId val="810804288"/>
      </c:lineChart>
      <c:lineChart>
        <c:grouping val="standard"/>
        <c:varyColors val="0"/>
        <c:ser>
          <c:idx val="2"/>
          <c:order val="1"/>
          <c:tx>
            <c:strRef>
              <c:f>'I.Stat export'!$O$17</c:f>
              <c:strCache>
                <c:ptCount val="1"/>
                <c:pt idx="0">
                  <c:v>Consumi delle famiglie</c:v>
                </c:pt>
              </c:strCache>
            </c:strRef>
          </c:tx>
          <c:spPr>
            <a:ln w="28575" cap="rnd">
              <a:solidFill>
                <a:schemeClr val="accent3">
                  <a:lumMod val="75000"/>
                </a:schemeClr>
              </a:solidFill>
              <a:round/>
            </a:ln>
            <a:effectLst/>
          </c:spPr>
          <c:marker>
            <c:symbol val="none"/>
          </c:marker>
          <c:val>
            <c:numRef>
              <c:f>'I.Stat export'!$P$50:$P$58</c:f>
              <c:numCache>
                <c:formatCode>0.0</c:formatCode>
                <c:ptCount val="9"/>
                <c:pt idx="0">
                  <c:v>99.26898234524657</c:v>
                </c:pt>
                <c:pt idx="1">
                  <c:v>99.370487957834186</c:v>
                </c:pt>
                <c:pt idx="2">
                  <c:v>99.433533501664414</c:v>
                </c:pt>
                <c:pt idx="3">
                  <c:v>99.694520707592829</c:v>
                </c:pt>
                <c:pt idx="4">
                  <c:v>99.65834765977246</c:v>
                </c:pt>
                <c:pt idx="5">
                  <c:v>99.709691279808325</c:v>
                </c:pt>
                <c:pt idx="6">
                  <c:v>100.04130931567474</c:v>
                </c:pt>
                <c:pt idx="7">
                  <c:v>100.01912521258573</c:v>
                </c:pt>
                <c:pt idx="8">
                  <c:v>93.405136896785123</c:v>
                </c:pt>
              </c:numCache>
            </c:numRef>
          </c:val>
          <c:smooth val="0"/>
          <c:extLst>
            <c:ext xmlns:c16="http://schemas.microsoft.com/office/drawing/2014/chart" uri="{C3380CC4-5D6E-409C-BE32-E72D297353CC}">
              <c16:uniqueId val="{00000001-7B8C-48AC-9CBB-305724D98DE1}"/>
            </c:ext>
          </c:extLst>
        </c:ser>
        <c:dLbls>
          <c:showLegendKey val="0"/>
          <c:showVal val="0"/>
          <c:showCatName val="0"/>
          <c:showSerName val="0"/>
          <c:showPercent val="0"/>
          <c:showBubbleSize val="0"/>
        </c:dLbls>
        <c:marker val="1"/>
        <c:smooth val="0"/>
        <c:axId val="2076564432"/>
        <c:axId val="429091584"/>
      </c:lineChart>
      <c:catAx>
        <c:axId val="810809696"/>
        <c:scaling>
          <c:orientation val="minMax"/>
        </c:scaling>
        <c:delete val="0"/>
        <c:axPos val="b"/>
        <c:numFmt formatCode="General" sourceLinked="1"/>
        <c:majorTickMark val="none"/>
        <c:minorTickMark val="none"/>
        <c:tickLblPos val="nextTo"/>
        <c:spPr>
          <a:noFill/>
          <a:ln w="6350" cap="flat" cmpd="sng" algn="ctr">
            <a:solidFill>
              <a:schemeClr val="bg1">
                <a:lumMod val="50000"/>
              </a:schemeClr>
            </a:solidFill>
            <a:round/>
          </a:ln>
          <a:effectLst/>
        </c:spPr>
        <c:txPr>
          <a:bodyPr rot="-2400000" spcFirstLastPara="1" vertOverflow="ellipsis"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it-IT"/>
          </a:p>
        </c:txPr>
        <c:crossAx val="810804288"/>
        <c:crosses val="autoZero"/>
        <c:auto val="1"/>
        <c:lblAlgn val="ctr"/>
        <c:lblOffset val="100"/>
        <c:noMultiLvlLbl val="0"/>
      </c:catAx>
      <c:valAx>
        <c:axId val="810804288"/>
        <c:scaling>
          <c:orientation val="minMax"/>
          <c:min val="90"/>
        </c:scaling>
        <c:delete val="0"/>
        <c:axPos val="l"/>
        <c:majorGridlines>
          <c:spPr>
            <a:ln w="3175" cap="flat" cmpd="sng" algn="ctr">
              <a:solidFill>
                <a:schemeClr val="bg1">
                  <a:lumMod val="6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it-IT"/>
          </a:p>
        </c:txPr>
        <c:crossAx val="810809696"/>
        <c:crosses val="autoZero"/>
        <c:crossBetween val="between"/>
      </c:valAx>
      <c:valAx>
        <c:axId val="429091584"/>
        <c:scaling>
          <c:orientation val="minMax"/>
          <c:min val="91"/>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it-IT"/>
          </a:p>
        </c:txPr>
        <c:crossAx val="2076564432"/>
        <c:crosses val="max"/>
        <c:crossBetween val="between"/>
      </c:valAx>
      <c:catAx>
        <c:axId val="2076564432"/>
        <c:scaling>
          <c:orientation val="minMax"/>
        </c:scaling>
        <c:delete val="1"/>
        <c:axPos val="b"/>
        <c:majorTickMark val="out"/>
        <c:minorTickMark val="none"/>
        <c:tickLblPos val="nextTo"/>
        <c:crossAx val="429091584"/>
        <c:crosses val="autoZero"/>
        <c:auto val="1"/>
        <c:lblAlgn val="ctr"/>
        <c:lblOffset val="100"/>
        <c:noMultiLvlLbl val="0"/>
      </c:catAx>
      <c:spPr>
        <a:noFill/>
        <a:ln>
          <a:noFill/>
        </a:ln>
        <a:effectLst/>
      </c:spPr>
    </c:plotArea>
    <c:legend>
      <c:legendPos val="b"/>
      <c:layout>
        <c:manualLayout>
          <c:xMode val="edge"/>
          <c:yMode val="edge"/>
          <c:x val="2.6054861111111112E-2"/>
          <c:y val="0.88474191919191925"/>
          <c:w val="0.93466111111111116"/>
          <c:h val="9.6015656565656568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it-IT"/>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Narrow" panose="020B0606020202030204" pitchFamily="34" charset="0"/>
        </a:defRPr>
      </a:pPr>
      <a:endParaRPr lang="it-I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7768473385271286E-2"/>
          <c:y val="5.0925925925925923E-2"/>
          <c:w val="0.93343369115897545"/>
          <c:h val="0.76354913969087201"/>
        </c:manualLayout>
      </c:layout>
      <c:barChart>
        <c:barDir val="col"/>
        <c:grouping val="clustered"/>
        <c:varyColors val="0"/>
        <c:ser>
          <c:idx val="0"/>
          <c:order val="0"/>
          <c:tx>
            <c:strRef>
              <c:f>data_17_20_totale!$I$7</c:f>
              <c:strCache>
                <c:ptCount val="1"/>
                <c:pt idx="0">
                  <c:v>Gen</c:v>
                </c:pt>
              </c:strCache>
            </c:strRef>
          </c:tx>
          <c:spPr>
            <a:solidFill>
              <a:schemeClr val="accent5">
                <a:lumMod val="75000"/>
              </a:schemeClr>
            </a:solidFill>
            <a:ln>
              <a:noFill/>
            </a:ln>
            <a:effectLst/>
          </c:spPr>
          <c:invertIfNegative val="0"/>
          <c:cat>
            <c:strRef>
              <c:f>data_17_20_totale!$J$6:$L$6</c:f>
              <c:strCache>
                <c:ptCount val="3"/>
                <c:pt idx="0">
                  <c:v>Ore medie lavorate</c:v>
                </c:pt>
                <c:pt idx="1">
                  <c:v>Tasso disoccupazione</c:v>
                </c:pt>
                <c:pt idx="2">
                  <c:v>Tasso inattività</c:v>
                </c:pt>
              </c:strCache>
            </c:strRef>
          </c:cat>
          <c:val>
            <c:numRef>
              <c:f>data_17_20_totale!$J$7:$L$7</c:f>
              <c:numCache>
                <c:formatCode>0.0</c:formatCode>
                <c:ptCount val="3"/>
                <c:pt idx="0">
                  <c:v>33</c:v>
                </c:pt>
                <c:pt idx="1">
                  <c:v>9.4218200000000003</c:v>
                </c:pt>
                <c:pt idx="2">
                  <c:v>34.836236</c:v>
                </c:pt>
              </c:numCache>
            </c:numRef>
          </c:val>
          <c:extLst>
            <c:ext xmlns:c16="http://schemas.microsoft.com/office/drawing/2014/chart" uri="{C3380CC4-5D6E-409C-BE32-E72D297353CC}">
              <c16:uniqueId val="{00000000-23D0-4C7D-9A1F-3491CB9505F7}"/>
            </c:ext>
          </c:extLst>
        </c:ser>
        <c:ser>
          <c:idx val="1"/>
          <c:order val="1"/>
          <c:tx>
            <c:strRef>
              <c:f>data_17_20_totale!$I$8</c:f>
              <c:strCache>
                <c:ptCount val="1"/>
                <c:pt idx="0">
                  <c:v>Feb</c:v>
                </c:pt>
              </c:strCache>
            </c:strRef>
          </c:tx>
          <c:spPr>
            <a:solidFill>
              <a:srgbClr val="5982CB"/>
            </a:solidFill>
            <a:ln w="25400">
              <a:noFill/>
            </a:ln>
          </c:spPr>
          <c:invertIfNegative val="0"/>
          <c:cat>
            <c:strRef>
              <c:f>data_17_20_totale!$J$6:$L$6</c:f>
              <c:strCache>
                <c:ptCount val="3"/>
                <c:pt idx="0">
                  <c:v>Ore medie lavorate</c:v>
                </c:pt>
                <c:pt idx="1">
                  <c:v>Tasso disoccupazione</c:v>
                </c:pt>
                <c:pt idx="2">
                  <c:v>Tasso inattività</c:v>
                </c:pt>
              </c:strCache>
            </c:strRef>
          </c:cat>
          <c:val>
            <c:numRef>
              <c:f>data_17_20_totale!$J$8:$L$8</c:f>
              <c:numCache>
                <c:formatCode>0.0</c:formatCode>
                <c:ptCount val="3"/>
                <c:pt idx="0">
                  <c:v>35.299999999999997</c:v>
                </c:pt>
                <c:pt idx="1">
                  <c:v>9.108568</c:v>
                </c:pt>
                <c:pt idx="2">
                  <c:v>35.001412999999999</c:v>
                </c:pt>
              </c:numCache>
            </c:numRef>
          </c:val>
          <c:extLst>
            <c:ext xmlns:c16="http://schemas.microsoft.com/office/drawing/2014/chart" uri="{C3380CC4-5D6E-409C-BE32-E72D297353CC}">
              <c16:uniqueId val="{00000001-23D0-4C7D-9A1F-3491CB9505F7}"/>
            </c:ext>
          </c:extLst>
        </c:ser>
        <c:ser>
          <c:idx val="2"/>
          <c:order val="2"/>
          <c:tx>
            <c:strRef>
              <c:f>data_17_20_totale!$I$9</c:f>
              <c:strCache>
                <c:ptCount val="1"/>
                <c:pt idx="0">
                  <c:v>Mar</c:v>
                </c:pt>
              </c:strCache>
            </c:strRef>
          </c:tx>
          <c:spPr>
            <a:solidFill>
              <a:srgbClr val="FFCD2F"/>
            </a:solidFill>
            <a:ln w="25400">
              <a:noFill/>
            </a:ln>
          </c:spPr>
          <c:invertIfNegative val="0"/>
          <c:cat>
            <c:strRef>
              <c:f>data_17_20_totale!$J$6:$L$6</c:f>
              <c:strCache>
                <c:ptCount val="3"/>
                <c:pt idx="0">
                  <c:v>Ore medie lavorate</c:v>
                </c:pt>
                <c:pt idx="1">
                  <c:v>Tasso disoccupazione</c:v>
                </c:pt>
                <c:pt idx="2">
                  <c:v>Tasso inattività</c:v>
                </c:pt>
              </c:strCache>
            </c:strRef>
          </c:cat>
          <c:val>
            <c:numRef>
              <c:f>data_17_20_totale!$J$9:$L$9</c:f>
              <c:numCache>
                <c:formatCode>0.0</c:formatCode>
                <c:ptCount val="3"/>
                <c:pt idx="0">
                  <c:v>25.2</c:v>
                </c:pt>
                <c:pt idx="1">
                  <c:v>8.0495330000000003</c:v>
                </c:pt>
                <c:pt idx="2">
                  <c:v>36.108901000000003</c:v>
                </c:pt>
              </c:numCache>
            </c:numRef>
          </c:val>
          <c:extLst>
            <c:ext xmlns:c16="http://schemas.microsoft.com/office/drawing/2014/chart" uri="{C3380CC4-5D6E-409C-BE32-E72D297353CC}">
              <c16:uniqueId val="{00000002-23D0-4C7D-9A1F-3491CB9505F7}"/>
            </c:ext>
          </c:extLst>
        </c:ser>
        <c:ser>
          <c:idx val="3"/>
          <c:order val="3"/>
          <c:tx>
            <c:strRef>
              <c:f>data_17_20_totale!$I$10</c:f>
              <c:strCache>
                <c:ptCount val="1"/>
                <c:pt idx="0">
                  <c:v>Apr</c:v>
                </c:pt>
              </c:strCache>
            </c:strRef>
          </c:tx>
          <c:spPr>
            <a:solidFill>
              <a:srgbClr val="DEA900"/>
            </a:solidFill>
            <a:ln w="25400">
              <a:noFill/>
            </a:ln>
          </c:spPr>
          <c:invertIfNegative val="0"/>
          <c:cat>
            <c:strRef>
              <c:f>data_17_20_totale!$J$6:$L$6</c:f>
              <c:strCache>
                <c:ptCount val="3"/>
                <c:pt idx="0">
                  <c:v>Ore medie lavorate</c:v>
                </c:pt>
                <c:pt idx="1">
                  <c:v>Tasso disoccupazione</c:v>
                </c:pt>
                <c:pt idx="2">
                  <c:v>Tasso inattività</c:v>
                </c:pt>
              </c:strCache>
            </c:strRef>
          </c:cat>
          <c:val>
            <c:numRef>
              <c:f>data_17_20_totale!$J$10:$L$10</c:f>
              <c:numCache>
                <c:formatCode>0.0</c:formatCode>
                <c:ptCount val="3"/>
                <c:pt idx="0">
                  <c:v>22</c:v>
                </c:pt>
                <c:pt idx="1">
                  <c:v>6.3181229999999999</c:v>
                </c:pt>
                <c:pt idx="2">
                  <c:v>38.064959999999999</c:v>
                </c:pt>
              </c:numCache>
            </c:numRef>
          </c:val>
          <c:extLst>
            <c:ext xmlns:c16="http://schemas.microsoft.com/office/drawing/2014/chart" uri="{C3380CC4-5D6E-409C-BE32-E72D297353CC}">
              <c16:uniqueId val="{00000003-23D0-4C7D-9A1F-3491CB9505F7}"/>
            </c:ext>
          </c:extLst>
        </c:ser>
        <c:dLbls>
          <c:showLegendKey val="0"/>
          <c:showVal val="0"/>
          <c:showCatName val="0"/>
          <c:showSerName val="0"/>
          <c:showPercent val="0"/>
          <c:showBubbleSize val="0"/>
        </c:dLbls>
        <c:gapWidth val="160"/>
        <c:overlap val="-25"/>
        <c:axId val="1783105967"/>
        <c:axId val="1"/>
      </c:barChart>
      <c:lineChart>
        <c:grouping val="standard"/>
        <c:varyColors val="0"/>
        <c:ser>
          <c:idx val="4"/>
          <c:order val="4"/>
          <c:tx>
            <c:strRef>
              <c:f>data_17_20_totale!$I$11</c:f>
              <c:strCache>
                <c:ptCount val="1"/>
                <c:pt idx="0">
                  <c:v>media 2019</c:v>
                </c:pt>
              </c:strCache>
            </c:strRef>
          </c:tx>
          <c:spPr>
            <a:ln w="19050">
              <a:noFill/>
            </a:ln>
          </c:spPr>
          <c:marker>
            <c:symbol val="dash"/>
            <c:size val="20"/>
            <c:spPr>
              <a:solidFill>
                <a:srgbClr val="CC0000"/>
              </a:solidFill>
              <a:ln w="6350">
                <a:noFill/>
              </a:ln>
            </c:spPr>
          </c:marker>
          <c:cat>
            <c:strRef>
              <c:f>data_17_20_totale!$C$6:$F$6</c:f>
              <c:strCache>
                <c:ptCount val="4"/>
                <c:pt idx="0">
                  <c:v>Ore medie lavorate</c:v>
                </c:pt>
                <c:pt idx="1">
                  <c:v>Tasso occupazione</c:v>
                </c:pt>
                <c:pt idx="2">
                  <c:v>Tasso disoccupazione</c:v>
                </c:pt>
                <c:pt idx="3">
                  <c:v>Tasso inattività</c:v>
                </c:pt>
              </c:strCache>
            </c:strRef>
          </c:cat>
          <c:val>
            <c:numRef>
              <c:f>data_17_20_totale!$J$11:$L$11</c:f>
              <c:numCache>
                <c:formatCode>0.0</c:formatCode>
                <c:ptCount val="3"/>
                <c:pt idx="0">
                  <c:v>34.153499099553663</c:v>
                </c:pt>
                <c:pt idx="1">
                  <c:v>10.318254749999999</c:v>
                </c:pt>
                <c:pt idx="2">
                  <c:v>34.200585000000004</c:v>
                </c:pt>
              </c:numCache>
            </c:numRef>
          </c:val>
          <c:smooth val="0"/>
          <c:extLst>
            <c:ext xmlns:c16="http://schemas.microsoft.com/office/drawing/2014/chart" uri="{C3380CC4-5D6E-409C-BE32-E72D297353CC}">
              <c16:uniqueId val="{00000004-23D0-4C7D-9A1F-3491CB9505F7}"/>
            </c:ext>
          </c:extLst>
        </c:ser>
        <c:dLbls>
          <c:showLegendKey val="0"/>
          <c:showVal val="0"/>
          <c:showCatName val="0"/>
          <c:showSerName val="0"/>
          <c:showPercent val="0"/>
          <c:showBubbleSize val="0"/>
        </c:dLbls>
        <c:marker val="1"/>
        <c:smooth val="0"/>
        <c:axId val="1783105967"/>
        <c:axId val="1"/>
      </c:lineChart>
      <c:catAx>
        <c:axId val="1783105967"/>
        <c:scaling>
          <c:orientation val="minMax"/>
        </c:scaling>
        <c:delete val="0"/>
        <c:axPos val="b"/>
        <c:numFmt formatCode="General" sourceLinked="1"/>
        <c:majorTickMark val="none"/>
        <c:minorTickMark val="none"/>
        <c:tickLblPos val="nextTo"/>
        <c:spPr>
          <a:noFill/>
          <a:ln w="6350" cap="flat" cmpd="sng" algn="ctr">
            <a:solidFill>
              <a:schemeClr val="bg1">
                <a:lumMod val="50000"/>
              </a:schemeClr>
            </a:solidFill>
            <a:round/>
          </a:ln>
          <a:effectLst/>
        </c:spPr>
        <c:txPr>
          <a:bodyPr rot="0" vert="horz"/>
          <a:lstStyle/>
          <a:p>
            <a:pPr>
              <a:defRPr/>
            </a:pPr>
            <a:endParaRPr lang="it-IT"/>
          </a:p>
        </c:txPr>
        <c:crossAx val="1"/>
        <c:crosses val="autoZero"/>
        <c:auto val="1"/>
        <c:lblAlgn val="ctr"/>
        <c:lblOffset val="100"/>
        <c:noMultiLvlLbl val="0"/>
      </c:catAx>
      <c:valAx>
        <c:axId val="1"/>
        <c:scaling>
          <c:orientation val="minMax"/>
          <c:max val="40"/>
        </c:scaling>
        <c:delete val="0"/>
        <c:axPos val="l"/>
        <c:majorGridlines>
          <c:spPr>
            <a:ln w="3175" cap="flat" cmpd="sng" algn="ctr">
              <a:solidFill>
                <a:schemeClr val="bg1">
                  <a:lumMod val="65000"/>
                </a:schemeClr>
              </a:solidFill>
              <a:round/>
            </a:ln>
            <a:effectLst/>
          </c:spPr>
        </c:majorGridlines>
        <c:numFmt formatCode="0" sourceLinked="0"/>
        <c:majorTickMark val="none"/>
        <c:minorTickMark val="none"/>
        <c:tickLblPos val="nextTo"/>
        <c:spPr>
          <a:ln w="6350">
            <a:noFill/>
          </a:ln>
        </c:spPr>
        <c:txPr>
          <a:bodyPr rot="0" vert="horz"/>
          <a:lstStyle/>
          <a:p>
            <a:pPr>
              <a:defRPr/>
            </a:pPr>
            <a:endParaRPr lang="it-IT"/>
          </a:p>
        </c:txPr>
        <c:crossAx val="1783105967"/>
        <c:crosses val="autoZero"/>
        <c:crossBetween val="between"/>
      </c:valAx>
      <c:spPr>
        <a:noFill/>
        <a:ln w="25400">
          <a:noFill/>
        </a:ln>
      </c:spPr>
    </c:plotArea>
    <c:legend>
      <c:legendPos val="b"/>
      <c:layout>
        <c:manualLayout>
          <c:xMode val="edge"/>
          <c:yMode val="edge"/>
          <c:x val="0.11842872114483922"/>
          <c:y val="0.90798607316942526"/>
          <c:w val="0.81592035094553117"/>
          <c:h val="7.8125662863570589E-2"/>
        </c:manualLayout>
      </c:layout>
      <c:overlay val="0"/>
      <c:spPr>
        <a:noFill/>
        <a:ln w="25400">
          <a:noFill/>
        </a:ln>
      </c:spPr>
    </c:legend>
    <c:plotVisOnly val="1"/>
    <c:dispBlanksAs val="gap"/>
    <c:showDLblsOverMax val="0"/>
  </c:chart>
  <c:spPr>
    <a:solidFill>
      <a:schemeClr val="bg1"/>
    </a:solidFill>
    <a:ln w="9525" cap="flat" cmpd="sng" algn="ctr">
      <a:noFill/>
      <a:round/>
    </a:ln>
    <a:effectLst/>
  </c:spPr>
  <c:txPr>
    <a:bodyPr/>
    <a:lstStyle/>
    <a:p>
      <a:pPr>
        <a:defRPr sz="800" b="0" i="0" u="none" strike="noStrike" baseline="0">
          <a:solidFill>
            <a:srgbClr val="000000"/>
          </a:solidFill>
          <a:latin typeface="Arial Narrow" panose="020B0606020202030204" pitchFamily="34" charset="0"/>
          <a:ea typeface="Calibri"/>
          <a:cs typeface="Calibri"/>
        </a:defRPr>
      </a:pPr>
      <a:endParaRPr lang="it-I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283779342397005E-2"/>
          <c:y val="5.8796296296296298E-2"/>
          <c:w val="0.93214848143981999"/>
          <c:h val="0.76910016835016837"/>
        </c:manualLayout>
      </c:layout>
      <c:lineChart>
        <c:grouping val="standard"/>
        <c:varyColors val="0"/>
        <c:ser>
          <c:idx val="0"/>
          <c:order val="0"/>
          <c:tx>
            <c:strRef>
              <c:f>Data!$A$63</c:f>
              <c:strCache>
                <c:ptCount val="1"/>
                <c:pt idx="0">
                  <c:v>Euro area </c:v>
                </c:pt>
              </c:strCache>
            </c:strRef>
          </c:tx>
          <c:spPr>
            <a:ln w="28575" cap="rnd">
              <a:solidFill>
                <a:schemeClr val="accent6">
                  <a:lumMod val="75000"/>
                </a:schemeClr>
              </a:solidFill>
              <a:round/>
            </a:ln>
            <a:effectLst/>
          </c:spPr>
          <c:marker>
            <c:symbol val="none"/>
          </c:marker>
          <c:cat>
            <c:strRef>
              <c:f>Data!$W$62:$AH$62</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Data!$W$63:$AH$63</c:f>
              <c:numCache>
                <c:formatCode>General</c:formatCode>
                <c:ptCount val="12"/>
                <c:pt idx="0">
                  <c:v>100</c:v>
                </c:pt>
                <c:pt idx="1">
                  <c:v>100.26246719160106</c:v>
                </c:pt>
                <c:pt idx="2">
                  <c:v>103.28083989501312</c:v>
                </c:pt>
                <c:pt idx="3">
                  <c:v>105.77427821522308</c:v>
                </c:pt>
                <c:pt idx="4">
                  <c:v>108.26771653543307</c:v>
                </c:pt>
                <c:pt idx="5">
                  <c:v>110.62992125984252</c:v>
                </c:pt>
                <c:pt idx="6">
                  <c:v>113.12335958005249</c:v>
                </c:pt>
                <c:pt idx="7">
                  <c:v>131.23359580052494</c:v>
                </c:pt>
                <c:pt idx="8">
                  <c:v>137.13910761154855</c:v>
                </c:pt>
                <c:pt idx="9">
                  <c:v>140.28871391076115</c:v>
                </c:pt>
                <c:pt idx="10">
                  <c:v>136.48293963254594</c:v>
                </c:pt>
                <c:pt idx="11">
                  <c:v>161.15485564304461</c:v>
                </c:pt>
              </c:numCache>
            </c:numRef>
          </c:val>
          <c:smooth val="0"/>
          <c:extLst>
            <c:ext xmlns:c16="http://schemas.microsoft.com/office/drawing/2014/chart" uri="{C3380CC4-5D6E-409C-BE32-E72D297353CC}">
              <c16:uniqueId val="{00000000-6A5E-43BC-9692-D2BE9B633D0F}"/>
            </c:ext>
          </c:extLst>
        </c:ser>
        <c:ser>
          <c:idx val="1"/>
          <c:order val="1"/>
          <c:tx>
            <c:strRef>
              <c:f>Data!$A$64</c:f>
              <c:strCache>
                <c:ptCount val="1"/>
                <c:pt idx="0">
                  <c:v>Germania</c:v>
                </c:pt>
              </c:strCache>
            </c:strRef>
          </c:tx>
          <c:spPr>
            <a:ln w="25400" cap="rnd">
              <a:solidFill>
                <a:schemeClr val="accent2"/>
              </a:solidFill>
              <a:round/>
            </a:ln>
            <a:effectLst/>
          </c:spPr>
          <c:marker>
            <c:symbol val="none"/>
          </c:marker>
          <c:cat>
            <c:strRef>
              <c:f>Data!$W$62:$AH$62</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Data!$W$64:$AH$64</c:f>
              <c:numCache>
                <c:formatCode>General</c:formatCode>
                <c:ptCount val="12"/>
                <c:pt idx="0">
                  <c:v>100</c:v>
                </c:pt>
                <c:pt idx="1">
                  <c:v>102.03836930455635</c:v>
                </c:pt>
                <c:pt idx="2">
                  <c:v>101.79856115107913</c:v>
                </c:pt>
                <c:pt idx="3">
                  <c:v>107.55395683453237</c:v>
                </c:pt>
                <c:pt idx="4">
                  <c:v>108.27338129496403</c:v>
                </c:pt>
                <c:pt idx="5">
                  <c:v>108.99280575539568</c:v>
                </c:pt>
                <c:pt idx="6">
                  <c:v>113.06954436450839</c:v>
                </c:pt>
                <c:pt idx="7">
                  <c:v>119.90407673860911</c:v>
                </c:pt>
                <c:pt idx="8">
                  <c:v>126.49880095923261</c:v>
                </c:pt>
                <c:pt idx="9">
                  <c:v>131.53477218225419</c:v>
                </c:pt>
                <c:pt idx="10">
                  <c:v>137.41007194244602</c:v>
                </c:pt>
                <c:pt idx="11">
                  <c:v>141.24700239808152</c:v>
                </c:pt>
              </c:numCache>
            </c:numRef>
          </c:val>
          <c:smooth val="0"/>
          <c:extLst>
            <c:ext xmlns:c16="http://schemas.microsoft.com/office/drawing/2014/chart" uri="{C3380CC4-5D6E-409C-BE32-E72D297353CC}">
              <c16:uniqueId val="{00000001-6A5E-43BC-9692-D2BE9B633D0F}"/>
            </c:ext>
          </c:extLst>
        </c:ser>
        <c:ser>
          <c:idx val="2"/>
          <c:order val="2"/>
          <c:tx>
            <c:strRef>
              <c:f>Data!$A$65</c:f>
              <c:strCache>
                <c:ptCount val="1"/>
                <c:pt idx="0">
                  <c:v>Spagna</c:v>
                </c:pt>
              </c:strCache>
            </c:strRef>
          </c:tx>
          <c:spPr>
            <a:ln w="28575" cap="rnd">
              <a:solidFill>
                <a:schemeClr val="accent3"/>
              </a:solidFill>
              <a:prstDash val="sysDash"/>
              <a:round/>
            </a:ln>
            <a:effectLst/>
          </c:spPr>
          <c:marker>
            <c:symbol val="none"/>
          </c:marker>
          <c:cat>
            <c:strRef>
              <c:f>Data!$W$62:$AH$62</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Data!$W$65:$AH$65</c:f>
              <c:numCache>
                <c:formatCode>General</c:formatCode>
                <c:ptCount val="12"/>
                <c:pt idx="0">
                  <c:v>100</c:v>
                </c:pt>
                <c:pt idx="1">
                  <c:v>98.138957816377172</c:v>
                </c:pt>
                <c:pt idx="2">
                  <c:v>107.81637717121589</c:v>
                </c:pt>
                <c:pt idx="3">
                  <c:v>109.8014888337469</c:v>
                </c:pt>
                <c:pt idx="4">
                  <c:v>113.64764267990076</c:v>
                </c:pt>
                <c:pt idx="5">
                  <c:v>113.151364764268</c:v>
                </c:pt>
                <c:pt idx="6">
                  <c:v>117.74193548387098</c:v>
                </c:pt>
                <c:pt idx="7">
                  <c:v>124.0694789081886</c:v>
                </c:pt>
                <c:pt idx="8">
                  <c:v>130.52109181141441</c:v>
                </c:pt>
                <c:pt idx="9">
                  <c:v>132.25806451612905</c:v>
                </c:pt>
                <c:pt idx="10">
                  <c:v>133.62282878411912</c:v>
                </c:pt>
                <c:pt idx="11">
                  <c:v>136.60049627791565</c:v>
                </c:pt>
              </c:numCache>
            </c:numRef>
          </c:val>
          <c:smooth val="0"/>
          <c:extLst>
            <c:ext xmlns:c16="http://schemas.microsoft.com/office/drawing/2014/chart" uri="{C3380CC4-5D6E-409C-BE32-E72D297353CC}">
              <c16:uniqueId val="{00000002-6A5E-43BC-9692-D2BE9B633D0F}"/>
            </c:ext>
          </c:extLst>
        </c:ser>
        <c:ser>
          <c:idx val="3"/>
          <c:order val="3"/>
          <c:tx>
            <c:strRef>
              <c:f>Data!$A$66</c:f>
              <c:strCache>
                <c:ptCount val="1"/>
                <c:pt idx="0">
                  <c:v>Francia</c:v>
                </c:pt>
              </c:strCache>
            </c:strRef>
          </c:tx>
          <c:spPr>
            <a:ln w="28575" cap="rnd">
              <a:solidFill>
                <a:schemeClr val="accent4"/>
              </a:solidFill>
              <a:prstDash val="dash"/>
              <a:round/>
            </a:ln>
            <a:effectLst/>
          </c:spPr>
          <c:marker>
            <c:symbol val="none"/>
          </c:marker>
          <c:cat>
            <c:strRef>
              <c:f>Data!$W$62:$AH$62</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Data!$W$66:$AH$66</c:f>
              <c:numCache>
                <c:formatCode>General</c:formatCode>
                <c:ptCount val="12"/>
                <c:pt idx="0">
                  <c:v>100</c:v>
                </c:pt>
                <c:pt idx="1">
                  <c:v>97.089639115250279</c:v>
                </c:pt>
                <c:pt idx="2">
                  <c:v>100.9313154831199</c:v>
                </c:pt>
                <c:pt idx="3">
                  <c:v>104.42374854481955</c:v>
                </c:pt>
                <c:pt idx="4">
                  <c:v>107.9161816065192</c:v>
                </c:pt>
                <c:pt idx="5">
                  <c:v>109.89522700814901</c:v>
                </c:pt>
                <c:pt idx="6">
                  <c:v>112.22351571594876</c:v>
                </c:pt>
                <c:pt idx="7">
                  <c:v>116.41443538998836</c:v>
                </c:pt>
                <c:pt idx="8">
                  <c:v>120.48894062863795</c:v>
                </c:pt>
                <c:pt idx="9">
                  <c:v>128.63795110593713</c:v>
                </c:pt>
                <c:pt idx="10">
                  <c:v>135.04074505238648</c:v>
                </c:pt>
                <c:pt idx="11">
                  <c:v>141.0942956926659</c:v>
                </c:pt>
              </c:numCache>
            </c:numRef>
          </c:val>
          <c:smooth val="0"/>
          <c:extLst>
            <c:ext xmlns:c16="http://schemas.microsoft.com/office/drawing/2014/chart" uri="{C3380CC4-5D6E-409C-BE32-E72D297353CC}">
              <c16:uniqueId val="{00000003-6A5E-43BC-9692-D2BE9B633D0F}"/>
            </c:ext>
          </c:extLst>
        </c:ser>
        <c:ser>
          <c:idx val="4"/>
          <c:order val="4"/>
          <c:tx>
            <c:strRef>
              <c:f>Data!$A$67</c:f>
              <c:strCache>
                <c:ptCount val="1"/>
                <c:pt idx="0">
                  <c:v>Italia</c:v>
                </c:pt>
              </c:strCache>
            </c:strRef>
          </c:tx>
          <c:spPr>
            <a:ln w="28575" cap="rnd">
              <a:solidFill>
                <a:schemeClr val="accent5">
                  <a:lumMod val="75000"/>
                </a:schemeClr>
              </a:solidFill>
              <a:round/>
            </a:ln>
            <a:effectLst/>
          </c:spPr>
          <c:marker>
            <c:symbol val="none"/>
          </c:marker>
          <c:cat>
            <c:strRef>
              <c:f>Data!$W$62:$AH$62</c:f>
              <c:strCach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strCache>
            </c:strRef>
          </c:cat>
          <c:val>
            <c:numRef>
              <c:f>Data!$W$67:$AH$67</c:f>
              <c:numCache>
                <c:formatCode>General</c:formatCode>
                <c:ptCount val="12"/>
                <c:pt idx="0">
                  <c:v>100</c:v>
                </c:pt>
                <c:pt idx="1">
                  <c:v>100.56369785794814</c:v>
                </c:pt>
                <c:pt idx="2">
                  <c:v>101.46561443066516</c:v>
                </c:pt>
                <c:pt idx="3">
                  <c:v>99.323562570462229</c:v>
                </c:pt>
                <c:pt idx="4">
                  <c:v>101.46561443066516</c:v>
                </c:pt>
                <c:pt idx="5">
                  <c:v>104.05862457722661</c:v>
                </c:pt>
                <c:pt idx="6">
                  <c:v>107.21533258173619</c:v>
                </c:pt>
                <c:pt idx="7">
                  <c:v>112.73957158962796</c:v>
                </c:pt>
                <c:pt idx="8">
                  <c:v>120.06764374295378</c:v>
                </c:pt>
                <c:pt idx="9">
                  <c:v>121.4205186020293</c:v>
                </c:pt>
                <c:pt idx="10">
                  <c:v>124.01352874859076</c:v>
                </c:pt>
                <c:pt idx="11">
                  <c:v>125.0281848928974</c:v>
                </c:pt>
              </c:numCache>
            </c:numRef>
          </c:val>
          <c:smooth val="0"/>
          <c:extLst>
            <c:ext xmlns:c16="http://schemas.microsoft.com/office/drawing/2014/chart" uri="{C3380CC4-5D6E-409C-BE32-E72D297353CC}">
              <c16:uniqueId val="{00000004-6A5E-43BC-9692-D2BE9B633D0F}"/>
            </c:ext>
          </c:extLst>
        </c:ser>
        <c:dLbls>
          <c:showLegendKey val="0"/>
          <c:showVal val="0"/>
          <c:showCatName val="0"/>
          <c:showSerName val="0"/>
          <c:showPercent val="0"/>
          <c:showBubbleSize val="0"/>
        </c:dLbls>
        <c:smooth val="0"/>
        <c:axId val="1042623103"/>
        <c:axId val="1"/>
      </c:lineChart>
      <c:catAx>
        <c:axId val="1042623103"/>
        <c:scaling>
          <c:orientation val="minMax"/>
        </c:scaling>
        <c:delete val="0"/>
        <c:axPos val="b"/>
        <c:numFmt formatCode="General" sourceLinked="1"/>
        <c:majorTickMark val="out"/>
        <c:minorTickMark val="none"/>
        <c:tickLblPos val="nextTo"/>
        <c:spPr>
          <a:noFill/>
          <a:ln w="6350" cap="flat" cmpd="sng" algn="ctr">
            <a:solidFill>
              <a:schemeClr val="bg1">
                <a:lumMod val="50000"/>
              </a:schemeClr>
            </a:solidFill>
            <a:round/>
          </a:ln>
          <a:effectLst/>
        </c:spPr>
        <c:txPr>
          <a:bodyPr rot="-60000000" vert="horz"/>
          <a:lstStyle/>
          <a:p>
            <a:pPr>
              <a:defRPr/>
            </a:pPr>
            <a:endParaRPr lang="it-IT"/>
          </a:p>
        </c:txPr>
        <c:crossAx val="1"/>
        <c:crosses val="autoZero"/>
        <c:auto val="1"/>
        <c:lblAlgn val="ctr"/>
        <c:lblOffset val="100"/>
        <c:noMultiLvlLbl val="0"/>
      </c:catAx>
      <c:valAx>
        <c:axId val="1"/>
        <c:scaling>
          <c:orientation val="minMax"/>
          <c:min val="90"/>
        </c:scaling>
        <c:delete val="0"/>
        <c:axPos val="l"/>
        <c:majorGridlines>
          <c:spPr>
            <a:ln w="3175" cap="flat" cmpd="sng" algn="ctr">
              <a:solidFill>
                <a:schemeClr val="bg1">
                  <a:lumMod val="65000"/>
                </a:schemeClr>
              </a:solidFill>
              <a:round/>
            </a:ln>
            <a:effectLst/>
          </c:spPr>
        </c:majorGridlines>
        <c:numFmt formatCode="General" sourceLinked="1"/>
        <c:majorTickMark val="none"/>
        <c:minorTickMark val="none"/>
        <c:tickLblPos val="nextTo"/>
        <c:spPr>
          <a:ln w="6350">
            <a:noFill/>
          </a:ln>
        </c:spPr>
        <c:txPr>
          <a:bodyPr rot="-60000000" vert="horz"/>
          <a:lstStyle/>
          <a:p>
            <a:pPr>
              <a:defRPr/>
            </a:pPr>
            <a:endParaRPr lang="it-IT"/>
          </a:p>
        </c:txPr>
        <c:crossAx val="1042623103"/>
        <c:crosses val="autoZero"/>
        <c:crossBetween val="between"/>
      </c:valAx>
      <c:spPr>
        <a:noFill/>
        <a:ln w="25400">
          <a:noFill/>
        </a:ln>
      </c:spPr>
    </c:plotArea>
    <c:legend>
      <c:legendPos val="r"/>
      <c:layout>
        <c:manualLayout>
          <c:xMode val="edge"/>
          <c:yMode val="edge"/>
          <c:x val="7.8697494968605966E-2"/>
          <c:y val="0.90657559371343643"/>
          <c:w val="0.8650362167626573"/>
          <c:h val="8.0294722195870083E-2"/>
        </c:manualLayout>
      </c:layout>
      <c:overlay val="0"/>
      <c:spPr>
        <a:noFill/>
        <a:ln w="25400">
          <a:noFill/>
        </a:ln>
      </c:sp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Narrow" panose="020B0606020202030204" pitchFamily="34" charset="0"/>
        </a:defRPr>
      </a:pPr>
      <a:endParaRPr lang="it-IT"/>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92ED-23D1-4695-A4B5-FB56D0C5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previsioni_revEB1_fin</Template>
  <TotalTime>49</TotalTime>
  <Pages>19</Pages>
  <Words>9799</Words>
  <Characters>55859</Characters>
  <Application>Microsoft Office Word</Application>
  <DocSecurity>0</DocSecurity>
  <Lines>465</Lines>
  <Paragraphs>131</Paragraphs>
  <ScaleCrop>false</ScaleCrop>
  <HeadingPairs>
    <vt:vector size="2" baseType="variant">
      <vt:variant>
        <vt:lpstr>Titolo</vt:lpstr>
      </vt:variant>
      <vt:variant>
        <vt:i4>1</vt:i4>
      </vt:variant>
    </vt:vector>
  </HeadingPairs>
  <TitlesOfParts>
    <vt:vector size="1" baseType="lpstr">
      <vt:lpstr>PROSPETTIVE PER L’ECONOMIA</vt:lpstr>
    </vt:vector>
  </TitlesOfParts>
  <Company>ISTAT</Company>
  <LinksUpToDate>false</LinksUpToDate>
  <CharactersWithSpaces>65527</CharactersWithSpaces>
  <SharedDoc>false</SharedDoc>
  <HLinks>
    <vt:vector size="18" baseType="variant">
      <vt:variant>
        <vt:i4>7667767</vt:i4>
      </vt:variant>
      <vt:variant>
        <vt:i4>6</vt:i4>
      </vt:variant>
      <vt:variant>
        <vt:i4>0</vt:i4>
      </vt:variant>
      <vt:variant>
        <vt:i4>5</vt:i4>
      </vt:variant>
      <vt:variant>
        <vt:lpwstr>https://www.istat.it/it/archivio/242505</vt:lpwstr>
      </vt:variant>
      <vt:variant>
        <vt:lpwstr/>
      </vt:variant>
      <vt:variant>
        <vt:i4>7667762</vt:i4>
      </vt:variant>
      <vt:variant>
        <vt:i4>3</vt:i4>
      </vt:variant>
      <vt:variant>
        <vt:i4>0</vt:i4>
      </vt:variant>
      <vt:variant>
        <vt:i4>5</vt:i4>
      </vt:variant>
      <vt:variant>
        <vt:lpwstr>https://www.istat.it/it/archivio/241033</vt:lpwstr>
      </vt:variant>
      <vt:variant>
        <vt:lpwstr/>
      </vt:variant>
      <vt:variant>
        <vt:i4>8060989</vt:i4>
      </vt:variant>
      <vt:variant>
        <vt:i4>0</vt:i4>
      </vt:variant>
      <vt:variant>
        <vt:i4>0</vt:i4>
      </vt:variant>
      <vt:variant>
        <vt:i4>5</vt:i4>
      </vt:variant>
      <vt:variant>
        <vt:lpwstr>https://www.istat.it/it/archivio/239854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PROSPETTIVE PER L’ECONOMIA</dc:title>
  <dc:subject/>
  <dc:creator>Roberta RR. Roncati</dc:creator>
  <cp:keywords/>
  <cp:lastModifiedBy>enzalucia vaccaro</cp:lastModifiedBy>
  <cp:revision>4</cp:revision>
  <cp:lastPrinted>2019-12-04T07:30:00Z</cp:lastPrinted>
  <dcterms:created xsi:type="dcterms:W3CDTF">2020-06-08T06:35:00Z</dcterms:created>
  <dcterms:modified xsi:type="dcterms:W3CDTF">2020-06-08T07:58:00Z</dcterms:modified>
</cp:coreProperties>
</file>