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A9CEE" w14:textId="77777777" w:rsidR="00E15A36" w:rsidRDefault="00E15A36" w:rsidP="00E15A36">
      <w:pPr>
        <w:rPr>
          <w:rFonts w:ascii="Arial Narrow" w:hAnsi="Arial Narrow"/>
          <w:b/>
          <w:bCs/>
          <w:iCs w:val="0"/>
          <w:color w:val="767171" w:themeColor="background2" w:themeShade="80"/>
          <w:sz w:val="28"/>
          <w:szCs w:val="28"/>
        </w:rPr>
      </w:pPr>
    </w:p>
    <w:p w14:paraId="4EE33D90" w14:textId="77777777" w:rsidR="00E15A36" w:rsidRPr="008C18E8" w:rsidRDefault="00E15A36" w:rsidP="00E15A36">
      <w:pPr>
        <w:ind w:left="7080" w:firstLine="708"/>
        <w:rPr>
          <w:rFonts w:ascii="Arial Narrow" w:hAnsi="Arial Narrow"/>
          <w:b/>
          <w:bCs/>
          <w:iCs w:val="0"/>
          <w:color w:val="767171" w:themeColor="background2" w:themeShade="80"/>
          <w:sz w:val="26"/>
          <w:szCs w:val="26"/>
        </w:rPr>
      </w:pPr>
      <w:r w:rsidRPr="008C18E8">
        <w:rPr>
          <w:rFonts w:ascii="Arial Narrow" w:hAnsi="Arial Narrow"/>
          <w:b/>
          <w:bCs/>
          <w:iCs w:val="0"/>
          <w:color w:val="767171" w:themeColor="background2" w:themeShade="80"/>
          <w:sz w:val="26"/>
          <w:szCs w:val="26"/>
        </w:rPr>
        <w:t>4 giugno 2020</w:t>
      </w:r>
    </w:p>
    <w:p w14:paraId="28275F5B" w14:textId="07589F69" w:rsidR="006A1439" w:rsidRDefault="006A1439" w:rsidP="00767484">
      <w:pPr>
        <w:pStyle w:val="Titolo"/>
      </w:pPr>
      <w:r w:rsidRPr="00767484">
        <w:t xml:space="preserve">Impatto dell’epidemia covid-19 </w:t>
      </w:r>
      <w:r w:rsidR="00B16BBF" w:rsidRPr="00767484">
        <w:br/>
      </w:r>
      <w:r w:rsidRPr="00767484">
        <w:t xml:space="preserve">sulla mortalità totale </w:t>
      </w:r>
      <w:r w:rsidR="00CD2B17" w:rsidRPr="00767484">
        <w:br/>
      </w:r>
      <w:r w:rsidRPr="00767484">
        <w:t>della popolazione residente</w:t>
      </w:r>
      <w:r w:rsidR="00E16095" w:rsidRPr="00767484">
        <w:t xml:space="preserve"> </w:t>
      </w:r>
      <w:r w:rsidR="00CD2B17" w:rsidRPr="00767484">
        <w:br/>
      </w:r>
      <w:r w:rsidR="00E16095" w:rsidRPr="00767484">
        <w:t xml:space="preserve">Primo </w:t>
      </w:r>
      <w:r w:rsidR="00C47372">
        <w:t>quadrime</w:t>
      </w:r>
      <w:r w:rsidR="00E16095" w:rsidRPr="00767484">
        <w:t>stre 2020</w:t>
      </w:r>
    </w:p>
    <w:p w14:paraId="368D4B10" w14:textId="77777777" w:rsidR="00C47372" w:rsidRDefault="00C47372" w:rsidP="00C47372"/>
    <w:p w14:paraId="5DF8D102" w14:textId="5E3A05C2" w:rsidR="00E15A36" w:rsidRPr="00B91A90" w:rsidRDefault="009C3F26" w:rsidP="00E15A36">
      <w:pPr>
        <w:spacing w:after="120" w:line="240" w:lineRule="auto"/>
        <w:rPr>
          <w:rFonts w:eastAsia="MS Mincho"/>
        </w:rPr>
      </w:pPr>
      <w:r>
        <w:rPr>
          <w:rFonts w:eastAsia="MS Mincho"/>
        </w:rPr>
        <w:t>IL</w:t>
      </w:r>
      <w:r w:rsidR="00E15A36">
        <w:rPr>
          <w:rFonts w:eastAsia="MS Mincho"/>
        </w:rPr>
        <w:t xml:space="preserve"> </w:t>
      </w:r>
      <w:r w:rsidR="00E15A36" w:rsidRPr="00C47372">
        <w:rPr>
          <w:rFonts w:eastAsia="MS Mincho"/>
        </w:rPr>
        <w:t>secondo Rapporto</w:t>
      </w:r>
      <w:r w:rsidR="00E15A36">
        <w:rPr>
          <w:rFonts w:eastAsia="MS Mincho"/>
        </w:rPr>
        <w:t>,</w:t>
      </w:r>
      <w:r w:rsidR="00E15A36" w:rsidRPr="00C47372">
        <w:rPr>
          <w:rFonts w:eastAsia="MS Mincho"/>
        </w:rPr>
        <w:t xml:space="preserve"> prodotto congiuntamente dall’Istituto nazionale di statistica e dall’Istituto Superiore di Sanità (</w:t>
      </w:r>
      <w:proofErr w:type="spellStart"/>
      <w:r w:rsidR="00E15A36" w:rsidRPr="00C47372">
        <w:rPr>
          <w:rFonts w:eastAsia="MS Mincho"/>
        </w:rPr>
        <w:t>Iss</w:t>
      </w:r>
      <w:proofErr w:type="spellEnd"/>
      <w:r w:rsidR="00E15A36" w:rsidRPr="00C47372">
        <w:rPr>
          <w:rFonts w:eastAsia="MS Mincho"/>
        </w:rPr>
        <w:t>)</w:t>
      </w:r>
      <w:r w:rsidR="00E15A36">
        <w:rPr>
          <w:rFonts w:eastAsia="MS Mincho"/>
        </w:rPr>
        <w:t xml:space="preserve">, </w:t>
      </w:r>
      <w:r w:rsidR="00E15A36" w:rsidRPr="00B91A90">
        <w:rPr>
          <w:rFonts w:eastAsia="MS Mincho"/>
        </w:rPr>
        <w:t>present</w:t>
      </w:r>
      <w:r>
        <w:rPr>
          <w:rFonts w:eastAsia="MS Mincho"/>
        </w:rPr>
        <w:t>a</w:t>
      </w:r>
      <w:r w:rsidR="00E15A36" w:rsidRPr="00B91A90">
        <w:rPr>
          <w:rFonts w:eastAsia="MS Mincho"/>
        </w:rPr>
        <w:t xml:space="preserve"> un’</w:t>
      </w:r>
      <w:r w:rsidR="00E15A36">
        <w:rPr>
          <w:rFonts w:eastAsia="MS Mincho"/>
        </w:rPr>
        <w:t>analisi</w:t>
      </w:r>
      <w:r w:rsidR="00E15A36" w:rsidRPr="00B91A90">
        <w:rPr>
          <w:rFonts w:eastAsia="MS Mincho"/>
        </w:rPr>
        <w:t xml:space="preserve"> della mortalità </w:t>
      </w:r>
      <w:r w:rsidR="00E15A36">
        <w:rPr>
          <w:rFonts w:eastAsia="MS Mincho"/>
        </w:rPr>
        <w:t xml:space="preserve">totale </w:t>
      </w:r>
      <w:r w:rsidR="00E15A36" w:rsidRPr="00B91A90">
        <w:rPr>
          <w:rFonts w:eastAsia="MS Mincho"/>
        </w:rPr>
        <w:t xml:space="preserve">e dei </w:t>
      </w:r>
      <w:r w:rsidR="00E15A36">
        <w:rPr>
          <w:rFonts w:eastAsia="MS Mincho"/>
        </w:rPr>
        <w:t>soggetti positivi al Covid-19 deceduti</w:t>
      </w:r>
      <w:r w:rsidR="00E15A36" w:rsidRPr="00B91A90">
        <w:rPr>
          <w:rFonts w:eastAsia="MS Mincho"/>
        </w:rPr>
        <w:t xml:space="preserve"> </w:t>
      </w:r>
      <w:r w:rsidR="00E15A36">
        <w:rPr>
          <w:rFonts w:eastAsia="MS Mincho"/>
        </w:rPr>
        <w:t>n</w:t>
      </w:r>
      <w:r w:rsidR="00E15A36" w:rsidRPr="00B91A90">
        <w:rPr>
          <w:rFonts w:eastAsia="MS Mincho"/>
        </w:rPr>
        <w:t>el mese di aprile</w:t>
      </w:r>
      <w:r w:rsidR="00E15A36">
        <w:rPr>
          <w:rFonts w:eastAsia="MS Mincho"/>
        </w:rPr>
        <w:t xml:space="preserve"> 2020 e un aggiornamento delle analisi relative</w:t>
      </w:r>
      <w:r w:rsidR="00E15A36" w:rsidRPr="00B91A90">
        <w:rPr>
          <w:rFonts w:eastAsia="MS Mincho"/>
        </w:rPr>
        <w:t xml:space="preserve"> al periodo gennaio-marzo 2020, </w:t>
      </w:r>
      <w:r w:rsidR="00E15A36">
        <w:rPr>
          <w:rFonts w:eastAsia="MS Mincho"/>
        </w:rPr>
        <w:t xml:space="preserve">già oggetto del </w:t>
      </w:r>
      <w:r w:rsidR="00E15A36" w:rsidRPr="00B91A90">
        <w:rPr>
          <w:rFonts w:eastAsia="MS Mincho"/>
        </w:rPr>
        <w:t>primo Rapporto. Il maggiore periodo di osservazione permette</w:t>
      </w:r>
      <w:r w:rsidR="00E15A36">
        <w:rPr>
          <w:rFonts w:eastAsia="MS Mincho"/>
        </w:rPr>
        <w:t>, infatti,</w:t>
      </w:r>
      <w:r w:rsidR="00E15A36" w:rsidRPr="00B91A90">
        <w:rPr>
          <w:rFonts w:eastAsia="MS Mincho"/>
        </w:rPr>
        <w:t xml:space="preserve"> di valutare meglio</w:t>
      </w:r>
      <w:r w:rsidR="00E15A36">
        <w:rPr>
          <w:rFonts w:eastAsia="MS Mincho"/>
        </w:rPr>
        <w:t xml:space="preserve"> e su una base dati più consolidata, </w:t>
      </w:r>
      <w:r w:rsidR="00E15A36" w:rsidRPr="00B91A90">
        <w:rPr>
          <w:rFonts w:eastAsia="MS Mincho"/>
        </w:rPr>
        <w:t>gli effetti delle misure preventive di sanità pubblica messe in atto in Italia, quali soprattutto l’isolamento dei casi sospetti o positivi e il “distanziamento sociale” a partire dall’11 marzo 2020 (</w:t>
      </w:r>
      <w:proofErr w:type="spellStart"/>
      <w:r w:rsidR="00E15A36" w:rsidRPr="00B91A90">
        <w:rPr>
          <w:rFonts w:eastAsia="MS Mincho"/>
        </w:rPr>
        <w:t>lockdown</w:t>
      </w:r>
      <w:proofErr w:type="spellEnd"/>
      <w:r w:rsidR="00C2045C" w:rsidRPr="00B91A90">
        <w:rPr>
          <w:rFonts w:eastAsia="MS Mincho"/>
        </w:rPr>
        <w:t>)</w:t>
      </w:r>
      <w:r w:rsidR="00C2045C">
        <w:rPr>
          <w:rFonts w:eastAsia="MS Mincho"/>
        </w:rPr>
        <w:t xml:space="preserve"> ed ancora in atto a fine aprile</w:t>
      </w:r>
      <w:r w:rsidR="00C2045C" w:rsidRPr="00B91A90">
        <w:rPr>
          <w:rFonts w:eastAsia="MS Mincho"/>
        </w:rPr>
        <w:t>.</w:t>
      </w:r>
    </w:p>
    <w:p w14:paraId="2D770FF8" w14:textId="77777777" w:rsidR="00E15A36" w:rsidRPr="00C47372" w:rsidRDefault="00E15A36" w:rsidP="00E15A36">
      <w:pPr>
        <w:spacing w:after="120" w:line="240" w:lineRule="auto"/>
        <w:rPr>
          <w:rFonts w:eastAsia="MS Mincho"/>
        </w:rPr>
      </w:pPr>
      <w:r w:rsidRPr="00C47372">
        <w:rPr>
          <w:rFonts w:eastAsia="MS Mincho"/>
        </w:rPr>
        <w:t>I dat</w:t>
      </w:r>
      <w:r>
        <w:rPr>
          <w:rFonts w:eastAsia="MS Mincho"/>
        </w:rPr>
        <w:t xml:space="preserve">i di mortalità totale analizzati </w:t>
      </w:r>
      <w:r w:rsidRPr="00C47372">
        <w:rPr>
          <w:rFonts w:eastAsia="MS Mincho"/>
        </w:rPr>
        <w:t>si riferiscono a</w:t>
      </w:r>
      <w:r>
        <w:rPr>
          <w:rFonts w:eastAsia="MS Mincho"/>
        </w:rPr>
        <w:t xml:space="preserve">i primi quattro mesi del </w:t>
      </w:r>
      <w:r w:rsidRPr="00C47372">
        <w:rPr>
          <w:rFonts w:eastAsia="MS Mincho"/>
        </w:rPr>
        <w:t>2020 e riguardano 7</w:t>
      </w:r>
      <w:r>
        <w:rPr>
          <w:rFonts w:eastAsia="MS Mincho"/>
        </w:rPr>
        <w:t>.</w:t>
      </w:r>
      <w:r w:rsidRPr="00C47372">
        <w:rPr>
          <w:rFonts w:eastAsia="MS Mincho"/>
        </w:rPr>
        <w:t xml:space="preserve">270 comuni </w:t>
      </w:r>
      <w:r>
        <w:rPr>
          <w:rFonts w:eastAsia="MS Mincho"/>
        </w:rPr>
        <w:t>(92% dei 7.904 complessivi, per una copertura del</w:t>
      </w:r>
      <w:r w:rsidRPr="00C47372">
        <w:rPr>
          <w:rFonts w:eastAsia="MS Mincho"/>
        </w:rPr>
        <w:t xml:space="preserve"> </w:t>
      </w:r>
      <w:r>
        <w:rPr>
          <w:rFonts w:eastAsia="MS Mincho"/>
        </w:rPr>
        <w:t>93,5% della popolazione residente in Italia</w:t>
      </w:r>
      <w:r w:rsidRPr="00C47372">
        <w:rPr>
          <w:rFonts w:eastAsia="MS Mincho"/>
        </w:rPr>
        <w:t xml:space="preserve">). La base dati è </w:t>
      </w:r>
      <w:r>
        <w:rPr>
          <w:rFonts w:eastAsia="MS Mincho"/>
        </w:rPr>
        <w:t>il risultato di un’</w:t>
      </w:r>
      <w:r w:rsidRPr="00C47372">
        <w:rPr>
          <w:rFonts w:eastAsia="MS Mincho"/>
        </w:rPr>
        <w:t>integrazione</w:t>
      </w:r>
      <w:r>
        <w:rPr>
          <w:rFonts w:eastAsia="MS Mincho"/>
        </w:rPr>
        <w:t>,</w:t>
      </w:r>
      <w:r w:rsidRPr="00C47372">
        <w:rPr>
          <w:rFonts w:eastAsia="MS Mincho"/>
        </w:rPr>
        <w:t xml:space="preserve"> </w:t>
      </w:r>
      <w:r>
        <w:rPr>
          <w:rFonts w:eastAsia="MS Mincho"/>
        </w:rPr>
        <w:t>effettuata dall’Istat, dei decessi di</w:t>
      </w:r>
      <w:r w:rsidRPr="00C47372">
        <w:rPr>
          <w:rFonts w:eastAsia="MS Mincho"/>
        </w:rPr>
        <w:t xml:space="preserve"> fonte anagrafica (ANPR e comuni) con i dati </w:t>
      </w:r>
      <w:r>
        <w:rPr>
          <w:rFonts w:eastAsia="MS Mincho"/>
        </w:rPr>
        <w:t>sui deceduti risultanti a</w:t>
      </w:r>
      <w:r w:rsidRPr="00C47372">
        <w:rPr>
          <w:rFonts w:eastAsia="MS Mincho"/>
        </w:rPr>
        <w:t>ll’Anagrafe tributaria.</w:t>
      </w:r>
      <w:r w:rsidRPr="00C47372">
        <w:rPr>
          <w:rFonts w:eastAsia="MS Mincho"/>
          <w:vertAlign w:val="superscript"/>
        </w:rPr>
        <w:footnoteReference w:id="2"/>
      </w:r>
    </w:p>
    <w:p w14:paraId="0032B121" w14:textId="1DCA5911" w:rsidR="00C47372" w:rsidRPr="00C47372" w:rsidRDefault="00C47372" w:rsidP="00C47372">
      <w:pPr>
        <w:rPr>
          <w:rFonts w:eastAsia="MS Mincho"/>
        </w:rPr>
      </w:pPr>
      <w:r w:rsidRPr="00C47372">
        <w:rPr>
          <w:rFonts w:eastAsia="MS Mincho"/>
        </w:rPr>
        <w:t xml:space="preserve">L’Istituto Superiore di Sanità ha il compito di coordinare la </w:t>
      </w:r>
      <w:r w:rsidR="009C3F26">
        <w:rPr>
          <w:rFonts w:eastAsia="MS Mincho"/>
        </w:rPr>
        <w:t>S</w:t>
      </w:r>
      <w:r w:rsidRPr="00C47372">
        <w:rPr>
          <w:rFonts w:eastAsia="MS Mincho"/>
        </w:rPr>
        <w:t>orveglianza Nazionale integrata Covid-19, attraverso l’ordinanza 640 della Presidenza del Consiglio dei Ministri – Dipartimento della Protezione Civile del 27/2/2020 (Ulteriori interventi urgenti di protezione civile in relazione all’emergenza relativa al rischio sanitario connesso all’insorgenza di patologie derivanti da agenti virali trasmissibili).</w:t>
      </w:r>
    </w:p>
    <w:p w14:paraId="33C1F2EA" w14:textId="65F70A4A" w:rsidR="00C47372" w:rsidRPr="00C47372" w:rsidRDefault="00C47372" w:rsidP="00C47372">
      <w:pPr>
        <w:rPr>
          <w:rFonts w:eastAsia="MS Mincho"/>
        </w:rPr>
      </w:pPr>
      <w:r w:rsidRPr="00C47372">
        <w:rPr>
          <w:rFonts w:eastAsia="MS Mincho"/>
        </w:rPr>
        <w:t>La sorveglianza raccoglie dati individuali dei soggetti positiv</w:t>
      </w:r>
      <w:r w:rsidR="003E5051">
        <w:rPr>
          <w:rFonts w:eastAsia="MS Mincho"/>
        </w:rPr>
        <w:t xml:space="preserve">i al Covid-19, in particolare </w:t>
      </w:r>
      <w:r w:rsidR="009C3F26">
        <w:rPr>
          <w:rFonts w:eastAsia="MS Mincho"/>
        </w:rPr>
        <w:t>quelli</w:t>
      </w:r>
      <w:r w:rsidR="003E5051">
        <w:rPr>
          <w:rFonts w:eastAsia="MS Mincho"/>
        </w:rPr>
        <w:t xml:space="preserve"> anagrafici, il luogo di domicilio e residenza, alcuni dati </w:t>
      </w:r>
      <w:r w:rsidRPr="00C47372">
        <w:rPr>
          <w:rFonts w:eastAsia="MS Mincho"/>
        </w:rPr>
        <w:t>di laboratorio, informazioni sul ricovero e sullo stato clinico (indicatore sintetico di gravit</w:t>
      </w:r>
      <w:r w:rsidR="009C3F26">
        <w:rPr>
          <w:rFonts w:eastAsia="MS Mincho"/>
        </w:rPr>
        <w:t>à</w:t>
      </w:r>
      <w:r w:rsidRPr="00C47372">
        <w:rPr>
          <w:rFonts w:eastAsia="MS Mincho"/>
        </w:rPr>
        <w:t xml:space="preserve"> della sintomatologia), </w:t>
      </w:r>
      <w:r w:rsidR="009C3F26">
        <w:rPr>
          <w:rFonts w:eastAsia="MS Mincho"/>
        </w:rPr>
        <w:t>sul</w:t>
      </w:r>
      <w:r w:rsidRPr="00C47372">
        <w:rPr>
          <w:rFonts w:eastAsia="MS Mincho"/>
        </w:rPr>
        <w:t xml:space="preserve">la presenza di alcuni fattori di rischio (patologie croniche di base) e l’esito finale (guarito o deceduto). </w:t>
      </w:r>
    </w:p>
    <w:p w14:paraId="2F81055B" w14:textId="69BB4D4D" w:rsidR="00E15A36" w:rsidRPr="00C47372" w:rsidRDefault="00E15A36" w:rsidP="00E15A36">
      <w:pPr>
        <w:spacing w:line="240" w:lineRule="auto"/>
        <w:rPr>
          <w:rFonts w:eastAsia="MS Mincho"/>
        </w:rPr>
      </w:pPr>
      <w:r w:rsidRPr="00C47372">
        <w:rPr>
          <w:rFonts w:eastAsia="MS Mincho"/>
        </w:rPr>
        <w:t xml:space="preserve">I dati, relativi a tutti i casi di Covid-19 diagnosticati microbiologicamente (tampone naso-faringeo positivo a SARS-Cov-2) </w:t>
      </w:r>
      <w:r w:rsidR="009C3F26">
        <w:rPr>
          <w:rFonts w:eastAsia="MS Mincho"/>
        </w:rPr>
        <w:t xml:space="preserve">provenienti </w:t>
      </w:r>
      <w:r w:rsidRPr="00C47372">
        <w:rPr>
          <w:rFonts w:eastAsia="MS Mincho"/>
        </w:rPr>
        <w:t>dai laboratori di riferimento regionali, vengono raccolti dalle Regioni/Province Autonome attraverso una piattaforma web dedicata e aggiornati quotidianamente da ciascuna Regione</w:t>
      </w:r>
      <w:r w:rsidRPr="00C47372">
        <w:rPr>
          <w:rFonts w:eastAsia="MS Mincho"/>
          <w:vertAlign w:val="superscript"/>
        </w:rPr>
        <w:footnoteReference w:id="3"/>
      </w:r>
      <w:r w:rsidRPr="00C47372">
        <w:rPr>
          <w:rFonts w:eastAsia="MS Mincho"/>
        </w:rPr>
        <w:t xml:space="preserve">. </w:t>
      </w:r>
    </w:p>
    <w:p w14:paraId="788D5109" w14:textId="47700542" w:rsidR="00C47372" w:rsidRPr="00C47372" w:rsidRDefault="00C47372" w:rsidP="00C47372">
      <w:pPr>
        <w:rPr>
          <w:rFonts w:eastAsia="MS Mincho"/>
        </w:rPr>
      </w:pPr>
      <w:r w:rsidRPr="00C47372">
        <w:rPr>
          <w:rFonts w:eastAsia="MS Mincho"/>
        </w:rPr>
        <w:t xml:space="preserve">I dati commentati nel Rapporto sono in continua fase di perfezionamento. La scelta di assumere come riferimento il primo quadrimestre </w:t>
      </w:r>
      <w:r w:rsidR="00CC33ED">
        <w:rPr>
          <w:rFonts w:eastAsia="MS Mincho"/>
        </w:rPr>
        <w:t xml:space="preserve">2020 </w:t>
      </w:r>
      <w:r w:rsidRPr="00C47372">
        <w:rPr>
          <w:rFonts w:eastAsia="MS Mincho"/>
        </w:rPr>
        <w:t>consente di effettuare l’analisi dell’impatto dell’epidemia Covid-19 sulla mortalità totale della popolazione residente su una base dati il più possibile consolidata</w:t>
      </w:r>
      <w:r w:rsidRPr="00C47372">
        <w:rPr>
          <w:rFonts w:eastAsia="MS Mincho"/>
          <w:vertAlign w:val="superscript"/>
        </w:rPr>
        <w:footnoteReference w:id="4"/>
      </w:r>
      <w:r w:rsidRPr="00C47372">
        <w:rPr>
          <w:rFonts w:eastAsia="MS Mincho"/>
        </w:rPr>
        <w:t>.</w:t>
      </w:r>
    </w:p>
    <w:p w14:paraId="478358FA" w14:textId="77777777" w:rsidR="00E15A36" w:rsidRDefault="00E15A36" w:rsidP="00E15A36">
      <w:pPr>
        <w:pStyle w:val="Titolo1"/>
      </w:pPr>
    </w:p>
    <w:p w14:paraId="0FE8D486" w14:textId="2F86A273" w:rsidR="00344AC5" w:rsidRPr="00B91A90" w:rsidRDefault="00344AC5" w:rsidP="001C44B8">
      <w:pPr>
        <w:pStyle w:val="Titolo1"/>
      </w:pPr>
      <w:r w:rsidRPr="00B91A90">
        <w:t>SINTESI DEI PRINCIPALI RISULTATI</w:t>
      </w:r>
      <w:r w:rsidR="00C06794" w:rsidRPr="00B91A90">
        <w:t xml:space="preserve"> </w:t>
      </w:r>
    </w:p>
    <w:p w14:paraId="188B3A91" w14:textId="4A704CC3" w:rsidR="00B80C81" w:rsidRPr="009546F9" w:rsidRDefault="00B80C81" w:rsidP="009546F9">
      <w:pPr>
        <w:pStyle w:val="Paragrafoelenco"/>
        <w:numPr>
          <w:ilvl w:val="0"/>
          <w:numId w:val="6"/>
        </w:numPr>
        <w:tabs>
          <w:tab w:val="clear" w:pos="360"/>
          <w:tab w:val="num" w:pos="426"/>
        </w:tabs>
        <w:spacing w:after="120" w:line="240" w:lineRule="auto"/>
        <w:ind w:left="0" w:firstLine="0"/>
        <w:contextualSpacing w:val="0"/>
        <w:rPr>
          <w:rFonts w:eastAsia="Times New Roman"/>
          <w:iCs w:val="0"/>
          <w:color w:val="000000"/>
          <w:lang w:eastAsia="it-IT"/>
        </w:rPr>
      </w:pPr>
      <w:r w:rsidRPr="00D44166">
        <w:rPr>
          <w:rFonts w:eastAsia="Times New Roman"/>
          <w:iCs w:val="0"/>
          <w:color w:val="000000"/>
          <w:lang w:eastAsia="it-IT"/>
        </w:rPr>
        <w:t>Il numero di casi Covid-19 segnalati in Italia</w:t>
      </w:r>
      <w:r w:rsidR="00C3104C">
        <w:rPr>
          <w:rFonts w:eastAsia="Times New Roman"/>
          <w:iCs w:val="0"/>
          <w:color w:val="000000"/>
          <w:lang w:eastAsia="it-IT"/>
        </w:rPr>
        <w:t xml:space="preserve"> è</w:t>
      </w:r>
      <w:r w:rsidRPr="00D44166">
        <w:rPr>
          <w:rFonts w:eastAsia="Times New Roman"/>
          <w:iCs w:val="0"/>
          <w:color w:val="000000"/>
          <w:lang w:eastAsia="it-IT"/>
        </w:rPr>
        <w:t xml:space="preserve"> massimo nel mese di marzo</w:t>
      </w:r>
      <w:r w:rsidR="008A5F1C">
        <w:rPr>
          <w:rFonts w:eastAsia="Times New Roman"/>
          <w:iCs w:val="0"/>
          <w:color w:val="000000"/>
          <w:lang w:eastAsia="it-IT"/>
        </w:rPr>
        <w:t xml:space="preserve"> </w:t>
      </w:r>
      <w:r w:rsidR="008A5F1C" w:rsidRPr="00D44166">
        <w:rPr>
          <w:rFonts w:eastAsia="Times New Roman"/>
          <w:iCs w:val="0"/>
          <w:color w:val="000000"/>
          <w:lang w:eastAsia="it-IT"/>
        </w:rPr>
        <w:t>con 113.011</w:t>
      </w:r>
      <w:r w:rsidR="008A5F1C">
        <w:rPr>
          <w:rFonts w:eastAsia="Times New Roman"/>
          <w:iCs w:val="0"/>
          <w:color w:val="000000"/>
          <w:lang w:eastAsia="it-IT"/>
        </w:rPr>
        <w:t xml:space="preserve"> casi, (</w:t>
      </w:r>
      <w:r w:rsidR="008A5F1C" w:rsidRPr="00234B36">
        <w:rPr>
          <w:rFonts w:eastAsia="Times New Roman"/>
          <w:iCs w:val="0"/>
          <w:color w:val="000000"/>
          <w:lang w:eastAsia="it-IT"/>
        </w:rPr>
        <w:t xml:space="preserve">il picco </w:t>
      </w:r>
      <w:r w:rsidR="008A5F1C">
        <w:rPr>
          <w:rFonts w:eastAsia="Times New Roman"/>
          <w:iCs w:val="0"/>
          <w:color w:val="000000"/>
          <w:lang w:eastAsia="it-IT"/>
        </w:rPr>
        <w:t xml:space="preserve">si raggiunge </w:t>
      </w:r>
      <w:r w:rsidR="006E66A5">
        <w:rPr>
          <w:rFonts w:eastAsia="Times New Roman"/>
          <w:iCs w:val="0"/>
          <w:color w:val="000000"/>
          <w:lang w:eastAsia="it-IT"/>
        </w:rPr>
        <w:t>il 20 marzo</w:t>
      </w:r>
      <w:r w:rsidR="008A5F1C">
        <w:rPr>
          <w:rFonts w:eastAsia="Times New Roman"/>
          <w:iCs w:val="0"/>
          <w:color w:val="000000"/>
          <w:lang w:eastAsia="it-IT"/>
        </w:rPr>
        <w:t>), quindi</w:t>
      </w:r>
      <w:r w:rsidRPr="00D44166">
        <w:rPr>
          <w:rFonts w:eastAsia="Times New Roman"/>
          <w:iCs w:val="0"/>
          <w:color w:val="000000"/>
          <w:lang w:eastAsia="it-IT"/>
        </w:rPr>
        <w:t xml:space="preserve"> </w:t>
      </w:r>
      <w:r w:rsidR="00FC4207">
        <w:rPr>
          <w:rFonts w:eastAsia="Times New Roman"/>
          <w:iCs w:val="0"/>
          <w:color w:val="000000"/>
          <w:lang w:eastAsia="it-IT"/>
        </w:rPr>
        <w:t xml:space="preserve">inizia a </w:t>
      </w:r>
      <w:r w:rsidRPr="00D44166">
        <w:rPr>
          <w:rFonts w:eastAsia="Times New Roman"/>
          <w:iCs w:val="0"/>
          <w:color w:val="000000"/>
          <w:lang w:eastAsia="it-IT"/>
        </w:rPr>
        <w:t>diminuire</w:t>
      </w:r>
      <w:r w:rsidR="006E66A5">
        <w:rPr>
          <w:rFonts w:eastAsia="Times New Roman"/>
          <w:iCs w:val="0"/>
          <w:color w:val="000000"/>
          <w:lang w:eastAsia="it-IT"/>
        </w:rPr>
        <w:t xml:space="preserve">; ad </w:t>
      </w:r>
      <w:r w:rsidRPr="00D44166">
        <w:rPr>
          <w:rFonts w:eastAsia="Times New Roman"/>
          <w:iCs w:val="0"/>
          <w:color w:val="000000"/>
          <w:lang w:eastAsia="it-IT"/>
        </w:rPr>
        <w:t>aprile</w:t>
      </w:r>
      <w:r w:rsidR="00C3104C">
        <w:rPr>
          <w:rFonts w:eastAsia="Times New Roman"/>
          <w:iCs w:val="0"/>
          <w:color w:val="000000"/>
          <w:lang w:eastAsia="it-IT"/>
        </w:rPr>
        <w:t xml:space="preserve"> </w:t>
      </w:r>
      <w:r w:rsidR="006E66A5">
        <w:rPr>
          <w:rFonts w:eastAsia="Times New Roman"/>
          <w:iCs w:val="0"/>
          <w:color w:val="000000"/>
          <w:lang w:eastAsia="it-IT"/>
        </w:rPr>
        <w:t xml:space="preserve">sono stati segnalati </w:t>
      </w:r>
      <w:r w:rsidRPr="00D44166">
        <w:rPr>
          <w:rFonts w:eastAsia="Times New Roman"/>
          <w:iCs w:val="0"/>
          <w:color w:val="000000"/>
          <w:lang w:eastAsia="it-IT"/>
        </w:rPr>
        <w:t>94.257</w:t>
      </w:r>
      <w:r w:rsidR="00C3104C">
        <w:rPr>
          <w:rFonts w:eastAsia="Times New Roman"/>
          <w:iCs w:val="0"/>
          <w:color w:val="000000"/>
          <w:lang w:eastAsia="it-IT"/>
        </w:rPr>
        <w:t xml:space="preserve"> </w:t>
      </w:r>
      <w:r w:rsidRPr="00D44166">
        <w:rPr>
          <w:rFonts w:eastAsia="Times New Roman"/>
          <w:iCs w:val="0"/>
          <w:color w:val="000000"/>
          <w:lang w:eastAsia="it-IT"/>
        </w:rPr>
        <w:t>casi</w:t>
      </w:r>
      <w:r w:rsidR="006E66A5">
        <w:rPr>
          <w:rFonts w:eastAsia="Times New Roman"/>
          <w:iCs w:val="0"/>
          <w:color w:val="000000"/>
          <w:lang w:eastAsia="it-IT"/>
        </w:rPr>
        <w:t xml:space="preserve">, </w:t>
      </w:r>
      <w:r w:rsidR="0026372E">
        <w:rPr>
          <w:rFonts w:eastAsia="Times New Roman"/>
          <w:iCs w:val="0"/>
          <w:color w:val="000000"/>
          <w:lang w:eastAsia="it-IT"/>
        </w:rPr>
        <w:t xml:space="preserve">sebbene molti decessi </w:t>
      </w:r>
      <w:r w:rsidR="009C3F26">
        <w:rPr>
          <w:rFonts w:eastAsia="Times New Roman"/>
          <w:iCs w:val="0"/>
          <w:color w:val="000000"/>
          <w:lang w:eastAsia="it-IT"/>
        </w:rPr>
        <w:t xml:space="preserve">avvenuti nel </w:t>
      </w:r>
      <w:r w:rsidR="0026372E">
        <w:rPr>
          <w:rFonts w:eastAsia="Times New Roman"/>
          <w:iCs w:val="0"/>
          <w:color w:val="000000"/>
          <w:lang w:eastAsia="it-IT"/>
        </w:rPr>
        <w:t xml:space="preserve">mese riguardano persone diagnosticate </w:t>
      </w:r>
      <w:r w:rsidR="009C3F26">
        <w:rPr>
          <w:rFonts w:eastAsia="Times New Roman"/>
          <w:iCs w:val="0"/>
          <w:color w:val="000000"/>
          <w:lang w:eastAsia="it-IT"/>
        </w:rPr>
        <w:t>a</w:t>
      </w:r>
      <w:r w:rsidR="0026372E">
        <w:rPr>
          <w:rFonts w:eastAsia="Times New Roman"/>
          <w:iCs w:val="0"/>
          <w:color w:val="000000"/>
          <w:lang w:eastAsia="it-IT"/>
        </w:rPr>
        <w:t xml:space="preserve"> marzo</w:t>
      </w:r>
      <w:r w:rsidR="00FC4207">
        <w:rPr>
          <w:rFonts w:eastAsia="Times New Roman"/>
          <w:iCs w:val="0"/>
          <w:color w:val="000000"/>
          <w:lang w:eastAsia="it-IT"/>
        </w:rPr>
        <w:t>. Il calo prosegue</w:t>
      </w:r>
      <w:r w:rsidRPr="00D44166">
        <w:rPr>
          <w:rFonts w:eastAsia="Times New Roman"/>
          <w:iCs w:val="0"/>
          <w:color w:val="000000"/>
          <w:lang w:eastAsia="it-IT"/>
        </w:rPr>
        <w:t xml:space="preserve"> ancora più marcatamente nel mese di maggio </w:t>
      </w:r>
      <w:r w:rsidR="00C3104C">
        <w:rPr>
          <w:rFonts w:eastAsia="Times New Roman"/>
          <w:iCs w:val="0"/>
          <w:color w:val="000000"/>
          <w:lang w:eastAsia="it-IT"/>
        </w:rPr>
        <w:t>(</w:t>
      </w:r>
      <w:r w:rsidRPr="00D44166">
        <w:rPr>
          <w:rFonts w:eastAsia="Times New Roman"/>
          <w:iCs w:val="0"/>
          <w:color w:val="000000"/>
          <w:lang w:eastAsia="it-IT"/>
        </w:rPr>
        <w:t>18.706</w:t>
      </w:r>
      <w:r w:rsidR="00C3104C">
        <w:rPr>
          <w:rFonts w:eastAsia="Times New Roman"/>
          <w:iCs w:val="0"/>
          <w:color w:val="000000"/>
          <w:lang w:eastAsia="it-IT"/>
        </w:rPr>
        <w:t xml:space="preserve"> casi, mese non completo e</w:t>
      </w:r>
      <w:r w:rsidRPr="00D44166">
        <w:rPr>
          <w:rFonts w:eastAsia="Times New Roman"/>
          <w:iCs w:val="0"/>
          <w:color w:val="000000"/>
          <w:lang w:eastAsia="it-IT"/>
        </w:rPr>
        <w:t xml:space="preserve"> dati aggiornati al 25 maggio).  </w:t>
      </w:r>
    </w:p>
    <w:p w14:paraId="429123C4" w14:textId="16C6BC4D" w:rsidR="0076749F" w:rsidRPr="009546F9" w:rsidRDefault="00C3104C" w:rsidP="009546F9">
      <w:pPr>
        <w:pStyle w:val="Paragrafoelenco"/>
        <w:numPr>
          <w:ilvl w:val="0"/>
          <w:numId w:val="6"/>
        </w:numPr>
        <w:tabs>
          <w:tab w:val="clear" w:pos="360"/>
          <w:tab w:val="num" w:pos="426"/>
        </w:tabs>
        <w:spacing w:after="120" w:line="240" w:lineRule="auto"/>
        <w:ind w:left="0" w:firstLine="0"/>
        <w:contextualSpacing w:val="0"/>
        <w:rPr>
          <w:rFonts w:eastAsia="Times New Roman"/>
          <w:iCs w:val="0"/>
          <w:color w:val="000000"/>
          <w:lang w:eastAsia="it-IT"/>
        </w:rPr>
      </w:pPr>
      <w:r>
        <w:rPr>
          <w:color w:val="000000" w:themeColor="text1"/>
        </w:rPr>
        <w:t xml:space="preserve">Dei </w:t>
      </w:r>
      <w:r w:rsidRPr="007544F6">
        <w:rPr>
          <w:bCs/>
          <w:color w:val="000000" w:themeColor="text1"/>
        </w:rPr>
        <w:t>209.013</w:t>
      </w:r>
      <w:r w:rsidRPr="00136674">
        <w:rPr>
          <w:color w:val="000000" w:themeColor="text1"/>
        </w:rPr>
        <w:t xml:space="preserve"> </w:t>
      </w:r>
      <w:r>
        <w:rPr>
          <w:color w:val="000000" w:themeColor="text1"/>
        </w:rPr>
        <w:t xml:space="preserve">casi Covid-19 </w:t>
      </w:r>
      <w:r w:rsidR="00C2045C">
        <w:rPr>
          <w:color w:val="000000" w:themeColor="text1"/>
        </w:rPr>
        <w:t>diagnosticati entro il</w:t>
      </w:r>
      <w:r w:rsidRPr="00136674">
        <w:rPr>
          <w:color w:val="000000" w:themeColor="text1"/>
        </w:rPr>
        <w:t xml:space="preserve"> 30 </w:t>
      </w:r>
      <w:r>
        <w:rPr>
          <w:color w:val="000000" w:themeColor="text1"/>
        </w:rPr>
        <w:t>a</w:t>
      </w:r>
      <w:r w:rsidRPr="00136674">
        <w:rPr>
          <w:color w:val="000000" w:themeColor="text1"/>
        </w:rPr>
        <w:t>prile 2020</w:t>
      </w:r>
      <w:r>
        <w:rPr>
          <w:color w:val="000000" w:themeColor="text1"/>
        </w:rPr>
        <w:t>, i</w:t>
      </w:r>
      <w:r w:rsidR="0076749F" w:rsidRPr="009546F9">
        <w:rPr>
          <w:rFonts w:eastAsia="Times New Roman"/>
          <w:iCs w:val="0"/>
          <w:color w:val="000000"/>
          <w:lang w:eastAsia="it-IT"/>
        </w:rPr>
        <w:t>l 53,3% (111.452) è di sesso femminile. La classe mediana di età è di 60-64 anni (</w:t>
      </w:r>
      <w:r w:rsidR="008B047F">
        <w:rPr>
          <w:rFonts w:eastAsia="Times New Roman"/>
          <w:iCs w:val="0"/>
          <w:color w:val="000000"/>
          <w:lang w:eastAsia="it-IT"/>
        </w:rPr>
        <w:t xml:space="preserve">rispetto al </w:t>
      </w:r>
      <w:proofErr w:type="spellStart"/>
      <w:r w:rsidR="0076749F" w:rsidRPr="009546F9">
        <w:rPr>
          <w:rFonts w:eastAsia="Times New Roman"/>
          <w:iCs w:val="0"/>
          <w:color w:val="000000"/>
          <w:lang w:eastAsia="it-IT"/>
        </w:rPr>
        <w:t>range</w:t>
      </w:r>
      <w:proofErr w:type="spellEnd"/>
      <w:r w:rsidR="0076749F" w:rsidRPr="009546F9">
        <w:rPr>
          <w:rFonts w:eastAsia="Times New Roman"/>
          <w:iCs w:val="0"/>
          <w:color w:val="000000"/>
          <w:lang w:eastAsia="it-IT"/>
        </w:rPr>
        <w:t xml:space="preserve"> 0-100). Nella fascia di età </w:t>
      </w:r>
      <w:r w:rsidR="008B047F">
        <w:rPr>
          <w:rFonts w:eastAsia="Times New Roman"/>
          <w:iCs w:val="0"/>
          <w:color w:val="000000"/>
          <w:lang w:eastAsia="it-IT"/>
        </w:rPr>
        <w:t xml:space="preserve">maggiore di </w:t>
      </w:r>
      <w:r w:rsidR="0076749F" w:rsidRPr="009546F9">
        <w:rPr>
          <w:rFonts w:eastAsia="Times New Roman"/>
          <w:iCs w:val="0"/>
          <w:color w:val="000000"/>
          <w:lang w:eastAsia="it-IT"/>
        </w:rPr>
        <w:t>90 anni, le donne sono</w:t>
      </w:r>
      <w:r w:rsidR="00A26CCE">
        <w:rPr>
          <w:rFonts w:eastAsia="Times New Roman"/>
          <w:iCs w:val="0"/>
          <w:color w:val="000000"/>
          <w:lang w:eastAsia="it-IT"/>
        </w:rPr>
        <w:t xml:space="preserve"> quasi l’80%</w:t>
      </w:r>
      <w:r w:rsidR="0076749F" w:rsidRPr="009546F9">
        <w:rPr>
          <w:rFonts w:eastAsia="Times New Roman"/>
          <w:iCs w:val="0"/>
          <w:color w:val="000000"/>
          <w:lang w:eastAsia="it-IT"/>
        </w:rPr>
        <w:t>, anche in ragione della netta prevalenza femminile in questo segmento di popolazione. Appena l’1% dei casi segnalati riguarda soggetti di età inferiore ai 14 anni, il 27% riguarda individui nella classe di età 15-49 anni, il 46% nella classe di età 50-79, il 26% individui di età superiore o uguale agli 80 anni compiuti</w:t>
      </w:r>
      <w:r w:rsidR="00831F90">
        <w:rPr>
          <w:rFonts w:eastAsia="Times New Roman"/>
          <w:iCs w:val="0"/>
          <w:color w:val="000000"/>
          <w:lang w:eastAsia="it-IT"/>
        </w:rPr>
        <w:t>.</w:t>
      </w:r>
    </w:p>
    <w:p w14:paraId="2B33B2DA" w14:textId="513DB1FA" w:rsidR="008574C4" w:rsidRPr="009546F9" w:rsidRDefault="008574C4" w:rsidP="006A1492">
      <w:pPr>
        <w:pStyle w:val="Paragrafoelenco"/>
        <w:numPr>
          <w:ilvl w:val="0"/>
          <w:numId w:val="6"/>
        </w:numPr>
        <w:tabs>
          <w:tab w:val="clear" w:pos="360"/>
          <w:tab w:val="num" w:pos="426"/>
        </w:tabs>
        <w:spacing w:after="120" w:line="240" w:lineRule="auto"/>
        <w:ind w:left="0" w:firstLine="0"/>
        <w:contextualSpacing w:val="0"/>
        <w:rPr>
          <w:rFonts w:eastAsia="Times New Roman"/>
          <w:iCs w:val="0"/>
          <w:color w:val="000000"/>
          <w:lang w:eastAsia="it-IT"/>
        </w:rPr>
      </w:pPr>
      <w:r w:rsidRPr="008574C4">
        <w:rPr>
          <w:color w:val="000000" w:themeColor="text1"/>
        </w:rPr>
        <w:t xml:space="preserve">La Sorveglianza </w:t>
      </w:r>
      <w:r w:rsidR="0065435B">
        <w:rPr>
          <w:color w:val="000000" w:themeColor="text1"/>
        </w:rPr>
        <w:t>Nazionale i</w:t>
      </w:r>
      <w:r w:rsidR="0065435B" w:rsidRPr="008574C4">
        <w:rPr>
          <w:color w:val="000000" w:themeColor="text1"/>
        </w:rPr>
        <w:t xml:space="preserve">ntegrata </w:t>
      </w:r>
      <w:r w:rsidRPr="008574C4">
        <w:rPr>
          <w:color w:val="000000" w:themeColor="text1"/>
        </w:rPr>
        <w:t xml:space="preserve">ha registrato, dal 20 febbraio al 30 aprile 2020, </w:t>
      </w:r>
      <w:r w:rsidRPr="008574C4">
        <w:rPr>
          <w:b/>
          <w:bCs/>
          <w:color w:val="000000" w:themeColor="text1"/>
        </w:rPr>
        <w:t xml:space="preserve">28.561 </w:t>
      </w:r>
      <w:r w:rsidRPr="008574C4">
        <w:rPr>
          <w:color w:val="000000" w:themeColor="text1"/>
        </w:rPr>
        <w:t xml:space="preserve">decessi in persone positive al Covid-19; di queste 15.114 (53%) sono decedute entro il mese di marzo </w:t>
      </w:r>
      <w:r w:rsidR="008A5F1C">
        <w:rPr>
          <w:color w:val="000000" w:themeColor="text1"/>
        </w:rPr>
        <w:t xml:space="preserve">(il picco si è raggiunto il 28 marzo) </w:t>
      </w:r>
      <w:r w:rsidRPr="008574C4">
        <w:rPr>
          <w:color w:val="000000" w:themeColor="text1"/>
        </w:rPr>
        <w:t>e 13.447 (47%) nel mese di aprile.</w:t>
      </w:r>
      <w:r w:rsidR="007F3B89">
        <w:rPr>
          <w:color w:val="000000" w:themeColor="text1"/>
        </w:rPr>
        <w:t xml:space="preserve"> </w:t>
      </w:r>
      <w:r w:rsidR="007F3B89" w:rsidRPr="0021302F">
        <w:rPr>
          <w:rFonts w:eastAsia="Times New Roman"/>
          <w:iCs w:val="0"/>
          <w:color w:val="000000"/>
          <w:lang w:eastAsia="it-IT"/>
        </w:rPr>
        <w:t>I</w:t>
      </w:r>
      <w:r w:rsidR="007F3B89" w:rsidRPr="00D44166">
        <w:rPr>
          <w:rFonts w:eastAsia="Times New Roman"/>
          <w:iCs w:val="0"/>
          <w:color w:val="000000"/>
          <w:lang w:eastAsia="it-IT"/>
        </w:rPr>
        <w:t xml:space="preserve">l continuo aggiornamento dei dati da parte delle </w:t>
      </w:r>
      <w:r w:rsidR="007F3B89" w:rsidRPr="0021302F">
        <w:rPr>
          <w:rFonts w:eastAsia="Times New Roman"/>
          <w:iCs w:val="0"/>
          <w:color w:val="000000"/>
          <w:lang w:eastAsia="it-IT"/>
        </w:rPr>
        <w:t>R</w:t>
      </w:r>
      <w:r w:rsidR="007F3B89" w:rsidRPr="00D44166">
        <w:rPr>
          <w:rFonts w:eastAsia="Times New Roman"/>
          <w:iCs w:val="0"/>
          <w:color w:val="000000"/>
          <w:lang w:eastAsia="it-IT"/>
        </w:rPr>
        <w:t>egioni ha permesso di recuperare</w:t>
      </w:r>
      <w:r w:rsidR="007F3B89">
        <w:rPr>
          <w:color w:val="000000" w:themeColor="text1"/>
        </w:rPr>
        <w:t>, ulteriori</w:t>
      </w:r>
      <w:r w:rsidR="007F3B89" w:rsidRPr="00A61D6B">
        <w:rPr>
          <w:color w:val="000000" w:themeColor="text1"/>
        </w:rPr>
        <w:t xml:space="preserve"> 790 decessi (15.</w:t>
      </w:r>
      <w:r w:rsidR="007F3B89">
        <w:rPr>
          <w:color w:val="000000" w:themeColor="text1"/>
        </w:rPr>
        <w:t>114</w:t>
      </w:r>
      <w:r w:rsidR="007F3B89" w:rsidRPr="00A61D6B">
        <w:rPr>
          <w:color w:val="000000" w:themeColor="text1"/>
        </w:rPr>
        <w:t xml:space="preserve"> rispetto ai 14.324)</w:t>
      </w:r>
      <w:r w:rsidR="007F3B89">
        <w:rPr>
          <w:color w:val="000000" w:themeColor="text1"/>
        </w:rPr>
        <w:t xml:space="preserve"> </w:t>
      </w:r>
      <w:r w:rsidR="007F3B89" w:rsidRPr="00A61D6B">
        <w:rPr>
          <w:color w:val="000000" w:themeColor="text1"/>
        </w:rPr>
        <w:t xml:space="preserve">avvenuti </w:t>
      </w:r>
      <w:r w:rsidR="009C3F26">
        <w:rPr>
          <w:color w:val="000000" w:themeColor="text1"/>
        </w:rPr>
        <w:t>a</w:t>
      </w:r>
      <w:r w:rsidR="007F3B89" w:rsidRPr="00A61D6B">
        <w:rPr>
          <w:color w:val="000000" w:themeColor="text1"/>
        </w:rPr>
        <w:t xml:space="preserve"> marzo</w:t>
      </w:r>
      <w:r w:rsidR="007F3B89">
        <w:rPr>
          <w:color w:val="000000" w:themeColor="text1"/>
        </w:rPr>
        <w:t xml:space="preserve"> ma comunicati successivamente alla data di aggiornamento </w:t>
      </w:r>
      <w:r w:rsidR="007F7CE2">
        <w:rPr>
          <w:color w:val="000000" w:themeColor="text1"/>
        </w:rPr>
        <w:t xml:space="preserve">della base dati oggetto </w:t>
      </w:r>
      <w:r w:rsidR="007F3B89">
        <w:rPr>
          <w:color w:val="000000" w:themeColor="text1"/>
        </w:rPr>
        <w:t xml:space="preserve">del primo Rapporto </w:t>
      </w:r>
      <w:r w:rsidR="007F7CE2">
        <w:rPr>
          <w:color w:val="000000" w:themeColor="text1"/>
        </w:rPr>
        <w:t>(</w:t>
      </w:r>
      <w:r w:rsidR="007F3B89" w:rsidRPr="00A61D6B">
        <w:rPr>
          <w:color w:val="000000" w:themeColor="text1"/>
        </w:rPr>
        <w:t>26 aprile 2020)</w:t>
      </w:r>
      <w:r w:rsidR="007F3B89">
        <w:rPr>
          <w:color w:val="000000" w:themeColor="text1"/>
        </w:rPr>
        <w:t>.</w:t>
      </w:r>
    </w:p>
    <w:p w14:paraId="10D80193" w14:textId="77777777" w:rsidR="00E15A36" w:rsidRDefault="00E15A36" w:rsidP="00E15A36">
      <w:pPr>
        <w:pStyle w:val="Paragrafoelenco"/>
        <w:numPr>
          <w:ilvl w:val="0"/>
          <w:numId w:val="6"/>
        </w:numPr>
        <w:tabs>
          <w:tab w:val="clear" w:pos="360"/>
          <w:tab w:val="num" w:pos="426"/>
        </w:tabs>
        <w:spacing w:after="120" w:line="240" w:lineRule="auto"/>
        <w:ind w:left="0" w:firstLine="0"/>
        <w:rPr>
          <w:rFonts w:eastAsia="Times New Roman"/>
          <w:color w:val="000000"/>
          <w:lang w:eastAsia="it-IT"/>
        </w:rPr>
      </w:pPr>
      <w:r>
        <w:rPr>
          <w:rFonts w:eastAsia="Times New Roman"/>
          <w:iCs w:val="0"/>
          <w:color w:val="000000"/>
          <w:lang w:eastAsia="it-IT"/>
        </w:rPr>
        <w:t xml:space="preserve">Si conferma </w:t>
      </w:r>
      <w:r w:rsidRPr="0021302F">
        <w:rPr>
          <w:rFonts w:eastAsia="Times New Roman"/>
          <w:iCs w:val="0"/>
          <w:color w:val="000000"/>
          <w:lang w:eastAsia="it-IT"/>
        </w:rPr>
        <w:t>l’eterogeneità</w:t>
      </w:r>
      <w:r w:rsidRPr="009546F9">
        <w:rPr>
          <w:rFonts w:eastAsia="Times New Roman"/>
          <w:iCs w:val="0"/>
          <w:color w:val="000000"/>
          <w:lang w:eastAsia="it-IT"/>
        </w:rPr>
        <w:t xml:space="preserve"> nella diffusione geografica</w:t>
      </w:r>
      <w:r>
        <w:rPr>
          <w:rFonts w:eastAsia="Times New Roman"/>
          <w:iCs w:val="0"/>
          <w:color w:val="000000"/>
          <w:lang w:eastAsia="it-IT"/>
        </w:rPr>
        <w:t xml:space="preserve"> dell’epidemia, che risulta</w:t>
      </w:r>
      <w:r w:rsidRPr="009546F9">
        <w:rPr>
          <w:rFonts w:eastAsia="Times New Roman"/>
          <w:iCs w:val="0"/>
          <w:color w:val="000000"/>
          <w:lang w:eastAsia="it-IT"/>
        </w:rPr>
        <w:t xml:space="preserve"> molto contenuta </w:t>
      </w:r>
      <w:r w:rsidRPr="0021302F">
        <w:rPr>
          <w:rFonts w:eastAsia="Times New Roman"/>
          <w:iCs w:val="0"/>
          <w:color w:val="000000"/>
          <w:lang w:eastAsia="it-IT"/>
        </w:rPr>
        <w:t xml:space="preserve">nelle </w:t>
      </w:r>
      <w:r w:rsidRPr="009546F9">
        <w:rPr>
          <w:rFonts w:eastAsia="Times New Roman"/>
          <w:iCs w:val="0"/>
          <w:color w:val="000000"/>
          <w:lang w:eastAsia="it-IT"/>
        </w:rPr>
        <w:t>Regioni del Sud e nelle Isole, mediamente più elevata in quelle del Centro rispetto al Mezzogiorno e molto elevata nelle regioni del Nord.</w:t>
      </w:r>
      <w:r>
        <w:rPr>
          <w:rFonts w:eastAsia="Times New Roman"/>
          <w:iCs w:val="0"/>
          <w:color w:val="000000"/>
          <w:lang w:eastAsia="it-IT"/>
        </w:rPr>
        <w:t xml:space="preserve"> </w:t>
      </w:r>
      <w:r>
        <w:rPr>
          <w:rFonts w:eastAsia="Times New Roman"/>
          <w:color w:val="000000"/>
          <w:lang w:eastAsia="it-IT"/>
        </w:rPr>
        <w:t xml:space="preserve">Considerando i casi e i decessi Covid-19, </w:t>
      </w:r>
      <w:r w:rsidRPr="00E705E7">
        <w:rPr>
          <w:rFonts w:eastAsia="Times New Roman"/>
          <w:color w:val="000000"/>
          <w:lang w:eastAsia="it-IT"/>
        </w:rPr>
        <w:t xml:space="preserve">il 75% dei casi segnalati </w:t>
      </w:r>
      <w:r>
        <w:rPr>
          <w:rFonts w:eastAsia="Times New Roman"/>
          <w:color w:val="000000"/>
          <w:lang w:eastAsia="it-IT"/>
        </w:rPr>
        <w:t xml:space="preserve">e l’82% dei decessi </w:t>
      </w:r>
      <w:r w:rsidRPr="00E705E7">
        <w:rPr>
          <w:rFonts w:eastAsia="Times New Roman"/>
          <w:color w:val="000000"/>
          <w:lang w:eastAsia="it-IT"/>
        </w:rPr>
        <w:t xml:space="preserve">si trovano nelle </w:t>
      </w:r>
      <w:r>
        <w:rPr>
          <w:rFonts w:eastAsia="Times New Roman"/>
          <w:color w:val="000000"/>
          <w:lang w:eastAsia="it-IT"/>
        </w:rPr>
        <w:t>p</w:t>
      </w:r>
      <w:r w:rsidRPr="00E705E7">
        <w:rPr>
          <w:rFonts w:eastAsia="Times New Roman"/>
          <w:color w:val="000000"/>
          <w:lang w:eastAsia="it-IT"/>
        </w:rPr>
        <w:t xml:space="preserve">rovince definite a diffusione “alta”, il 17% </w:t>
      </w:r>
      <w:r>
        <w:rPr>
          <w:rFonts w:eastAsia="Times New Roman"/>
          <w:color w:val="000000"/>
          <w:lang w:eastAsia="it-IT"/>
        </w:rPr>
        <w:t xml:space="preserve">dei casi e il 13% dei morti </w:t>
      </w:r>
      <w:r w:rsidRPr="00E705E7">
        <w:rPr>
          <w:rFonts w:eastAsia="Times New Roman"/>
          <w:color w:val="000000"/>
          <w:lang w:eastAsia="it-IT"/>
        </w:rPr>
        <w:t xml:space="preserve">in quelle a diffusione “media” e </w:t>
      </w:r>
      <w:r>
        <w:rPr>
          <w:rFonts w:eastAsia="Times New Roman"/>
          <w:color w:val="000000"/>
          <w:lang w:eastAsia="it-IT"/>
        </w:rPr>
        <w:t xml:space="preserve">rispettivamente </w:t>
      </w:r>
      <w:r w:rsidRPr="00E705E7">
        <w:rPr>
          <w:rFonts w:eastAsia="Times New Roman"/>
          <w:color w:val="000000"/>
          <w:lang w:eastAsia="it-IT"/>
        </w:rPr>
        <w:t xml:space="preserve">l’8% </w:t>
      </w:r>
      <w:r>
        <w:rPr>
          <w:rFonts w:eastAsia="Times New Roman"/>
          <w:color w:val="000000"/>
          <w:lang w:eastAsia="it-IT"/>
        </w:rPr>
        <w:t xml:space="preserve">e il 5% </w:t>
      </w:r>
      <w:r w:rsidRPr="00E705E7">
        <w:rPr>
          <w:rFonts w:eastAsia="Times New Roman"/>
          <w:color w:val="000000"/>
          <w:lang w:eastAsia="it-IT"/>
        </w:rPr>
        <w:t xml:space="preserve">nelle </w:t>
      </w:r>
      <w:r>
        <w:rPr>
          <w:rFonts w:eastAsia="Times New Roman"/>
          <w:color w:val="000000"/>
          <w:lang w:eastAsia="it-IT"/>
        </w:rPr>
        <w:t>p</w:t>
      </w:r>
      <w:r w:rsidRPr="00E705E7">
        <w:rPr>
          <w:rFonts w:eastAsia="Times New Roman"/>
          <w:color w:val="000000"/>
          <w:lang w:eastAsia="it-IT"/>
        </w:rPr>
        <w:t>rovince a diffusione “bassa”.</w:t>
      </w:r>
    </w:p>
    <w:p w14:paraId="49C1201F" w14:textId="77777777" w:rsidR="00E15A36" w:rsidRPr="008C18E8" w:rsidRDefault="00E15A36" w:rsidP="00E15A36">
      <w:pPr>
        <w:pStyle w:val="Paragrafoelenco"/>
        <w:spacing w:after="120" w:line="240" w:lineRule="auto"/>
        <w:ind w:left="0"/>
        <w:rPr>
          <w:rFonts w:eastAsia="Times New Roman"/>
          <w:color w:val="000000"/>
          <w:sz w:val="12"/>
          <w:szCs w:val="12"/>
          <w:lang w:eastAsia="it-IT"/>
        </w:rPr>
      </w:pPr>
    </w:p>
    <w:p w14:paraId="5161694F" w14:textId="28355C2F" w:rsidR="00FB03B3" w:rsidRPr="00E15A36" w:rsidRDefault="00E15A36" w:rsidP="00E15A36">
      <w:pPr>
        <w:pStyle w:val="Paragrafoelenco"/>
        <w:numPr>
          <w:ilvl w:val="0"/>
          <w:numId w:val="6"/>
        </w:numPr>
        <w:tabs>
          <w:tab w:val="clear" w:pos="360"/>
          <w:tab w:val="num" w:pos="426"/>
        </w:tabs>
        <w:spacing w:after="120" w:line="240" w:lineRule="auto"/>
        <w:ind w:left="0" w:firstLine="0"/>
        <w:contextualSpacing w:val="0"/>
        <w:rPr>
          <w:rFonts w:eastAsia="Times New Roman"/>
          <w:color w:val="000000"/>
          <w:lang w:eastAsia="it-IT"/>
        </w:rPr>
      </w:pPr>
      <w:r w:rsidRPr="00B91A90">
        <w:rPr>
          <w:rFonts w:eastAsia="Times New Roman"/>
          <w:color w:val="000000"/>
          <w:lang w:eastAsia="it-IT"/>
        </w:rPr>
        <w:t>Contemporaneamente alla diminuzione dei casi e dei decessi Covid-19 si riduce la mortalità per il complesso delle cause. A livello nazionale i decessi totali scendono da 80.623 di marzo a 64.693 di aprile e la stima dell’eccesso di mortalità passa da un aumento medio del 48,6% di marzo (26.350 decessi in più</w:t>
      </w:r>
      <w:r>
        <w:rPr>
          <w:rFonts w:eastAsia="Times New Roman"/>
          <w:color w:val="000000"/>
          <w:lang w:eastAsia="it-IT"/>
        </w:rPr>
        <w:t xml:space="preserve"> nel 2020</w:t>
      </w:r>
      <w:r w:rsidRPr="00B91A90">
        <w:rPr>
          <w:rFonts w:eastAsia="Times New Roman"/>
          <w:color w:val="000000"/>
          <w:lang w:eastAsia="it-IT"/>
        </w:rPr>
        <w:t xml:space="preserve"> rispetto alla media 2015-2019) al 33,6% di aprile (16.283 decessi in più). A diminuire è proprio la mortalità delle province ad alta diffusione. Nel complesso di questa area i decessi passano da 44.998 di marzo 2020 (113,1% in più rispetto al 2015-2019) a 32.931 di aprile (73,9% in più rispetto al 2015-2019). </w:t>
      </w:r>
      <w:r w:rsidR="00FB03B3" w:rsidRPr="00E15A36">
        <w:rPr>
          <w:rFonts w:eastAsia="Times New Roman"/>
          <w:color w:val="000000"/>
          <w:lang w:eastAsia="it-IT"/>
        </w:rPr>
        <w:t xml:space="preserve"> </w:t>
      </w:r>
    </w:p>
    <w:p w14:paraId="436AEA1E" w14:textId="4D374C32" w:rsidR="00FB03B3" w:rsidRPr="00B91A90" w:rsidRDefault="000E352C" w:rsidP="00B91A90">
      <w:pPr>
        <w:pStyle w:val="Paragrafoelenco"/>
        <w:numPr>
          <w:ilvl w:val="0"/>
          <w:numId w:val="6"/>
        </w:numPr>
        <w:tabs>
          <w:tab w:val="clear" w:pos="360"/>
          <w:tab w:val="num" w:pos="426"/>
        </w:tabs>
        <w:spacing w:after="120" w:line="240" w:lineRule="auto"/>
        <w:ind w:left="0" w:firstLine="0"/>
        <w:contextualSpacing w:val="0"/>
        <w:rPr>
          <w:rFonts w:eastAsia="Times New Roman"/>
          <w:color w:val="000000"/>
          <w:lang w:eastAsia="it-IT"/>
        </w:rPr>
      </w:pPr>
      <w:r>
        <w:rPr>
          <w:rFonts w:eastAsia="Times New Roman"/>
          <w:color w:val="000000"/>
          <w:lang w:eastAsia="it-IT"/>
        </w:rPr>
        <w:t>Il calo</w:t>
      </w:r>
      <w:r w:rsidR="00FB03B3" w:rsidRPr="00B91A90">
        <w:rPr>
          <w:rFonts w:eastAsia="Times New Roman"/>
          <w:color w:val="000000"/>
          <w:lang w:eastAsia="it-IT"/>
        </w:rPr>
        <w:t xml:space="preserve"> più importante si osserva in Lombardia: i morti per il totale delle cause diminuiscono da 24.893 di marzo a 16.190 di aprile 2020 e l’eccesso di decessi rispetto alla media degli stessi mesi del periodo 2015-2019 scende da 188,1% a 107,5%. Sono proprio le province più colpite dall’epidemia quelle in cui si osservano le ridu</w:t>
      </w:r>
      <w:r w:rsidRPr="00B91A90">
        <w:rPr>
          <w:rFonts w:eastAsia="Times New Roman"/>
          <w:color w:val="000000"/>
          <w:lang w:eastAsia="it-IT"/>
        </w:rPr>
        <w:t>zioni più importanti</w:t>
      </w:r>
      <w:r w:rsidR="00FB03B3" w:rsidRPr="00B91A90">
        <w:rPr>
          <w:rFonts w:eastAsia="Times New Roman"/>
          <w:color w:val="000000"/>
          <w:lang w:eastAsia="it-IT"/>
        </w:rPr>
        <w:t>. Bergamo e Lodi son</w:t>
      </w:r>
      <w:r w:rsidR="00622E78">
        <w:rPr>
          <w:rFonts w:eastAsia="Times New Roman"/>
          <w:color w:val="000000"/>
          <w:lang w:eastAsia="it-IT"/>
        </w:rPr>
        <w:t>o le aree in cui il calo della mortalità è stato più accentuato</w:t>
      </w:r>
      <w:r w:rsidR="00FB03B3" w:rsidRPr="00B91A90">
        <w:rPr>
          <w:rFonts w:eastAsia="Times New Roman"/>
          <w:color w:val="000000"/>
          <w:lang w:eastAsia="it-IT"/>
        </w:rPr>
        <w:t>, l’eccesso di mortalità scende da 571% di marzo a 123% di aprile a Bergamo e da 377% a 79,</w:t>
      </w:r>
      <w:r w:rsidR="00167B12">
        <w:rPr>
          <w:rFonts w:eastAsia="Times New Roman"/>
          <w:color w:val="000000"/>
          <w:lang w:eastAsia="it-IT"/>
        </w:rPr>
        <w:t>9</w:t>
      </w:r>
      <w:r w:rsidR="00FB03B3" w:rsidRPr="00B91A90">
        <w:rPr>
          <w:rFonts w:eastAsia="Times New Roman"/>
          <w:color w:val="000000"/>
          <w:lang w:eastAsia="it-IT"/>
        </w:rPr>
        <w:t>% a Lodi.</w:t>
      </w:r>
    </w:p>
    <w:p w14:paraId="4C20889B" w14:textId="77777777" w:rsidR="00F127F4" w:rsidRDefault="00F127F4" w:rsidP="00F127F4">
      <w:pPr>
        <w:pStyle w:val="Paragrafoelenco"/>
        <w:numPr>
          <w:ilvl w:val="0"/>
          <w:numId w:val="6"/>
        </w:numPr>
        <w:tabs>
          <w:tab w:val="clear" w:pos="360"/>
          <w:tab w:val="num" w:pos="426"/>
        </w:tabs>
        <w:spacing w:after="120" w:line="240" w:lineRule="auto"/>
        <w:ind w:left="0" w:firstLine="0"/>
        <w:contextualSpacing w:val="0"/>
        <w:rPr>
          <w:rFonts w:eastAsia="Times New Roman"/>
          <w:color w:val="000000"/>
          <w:lang w:eastAsia="it-IT"/>
        </w:rPr>
      </w:pPr>
      <w:r w:rsidRPr="00FB03B3">
        <w:rPr>
          <w:rFonts w:eastAsia="Times New Roman"/>
          <w:color w:val="000000"/>
          <w:lang w:eastAsia="it-IT"/>
        </w:rPr>
        <w:t xml:space="preserve">L’eccesso di mortalità si mantiene </w:t>
      </w:r>
      <w:r>
        <w:rPr>
          <w:rFonts w:eastAsia="Times New Roman"/>
          <w:color w:val="000000"/>
          <w:lang w:eastAsia="it-IT"/>
        </w:rPr>
        <w:t xml:space="preserve">invece </w:t>
      </w:r>
      <w:r w:rsidRPr="00FB03B3">
        <w:rPr>
          <w:rFonts w:eastAsia="Times New Roman"/>
          <w:color w:val="000000"/>
          <w:lang w:eastAsia="it-IT"/>
        </w:rPr>
        <w:t xml:space="preserve">ancora alto ad </w:t>
      </w:r>
      <w:r>
        <w:rPr>
          <w:rFonts w:eastAsia="Times New Roman"/>
          <w:color w:val="000000"/>
          <w:lang w:eastAsia="it-IT"/>
        </w:rPr>
        <w:t>a</w:t>
      </w:r>
      <w:r w:rsidRPr="00B91A90">
        <w:rPr>
          <w:rFonts w:eastAsia="Times New Roman"/>
          <w:color w:val="000000"/>
          <w:lang w:eastAsia="it-IT"/>
        </w:rPr>
        <w:t>prile</w:t>
      </w:r>
      <w:r>
        <w:rPr>
          <w:rFonts w:eastAsia="Times New Roman"/>
          <w:color w:val="000000"/>
          <w:lang w:eastAsia="it-IT"/>
        </w:rPr>
        <w:t xml:space="preserve"> 2020</w:t>
      </w:r>
      <w:r w:rsidRPr="00B91A90">
        <w:rPr>
          <w:rFonts w:eastAsia="Times New Roman"/>
          <w:color w:val="000000"/>
          <w:lang w:eastAsia="it-IT"/>
        </w:rPr>
        <w:t>, su livelli simili a quelli di marzo, nell</w:t>
      </w:r>
      <w:r>
        <w:rPr>
          <w:rFonts w:eastAsia="Times New Roman"/>
          <w:color w:val="000000"/>
          <w:lang w:eastAsia="it-IT"/>
        </w:rPr>
        <w:t>e</w:t>
      </w:r>
      <w:r w:rsidRPr="00B91A90">
        <w:rPr>
          <w:rFonts w:eastAsia="Times New Roman"/>
          <w:color w:val="000000"/>
          <w:lang w:eastAsia="it-IT"/>
        </w:rPr>
        <w:t xml:space="preserve"> province di Pavia (135% di decessi in più rispetto alla media 2015-2019), di Monza e Brianza (101%) e di Milano (98%).</w:t>
      </w:r>
    </w:p>
    <w:p w14:paraId="772C5E99" w14:textId="77777777" w:rsidR="00791B79" w:rsidRDefault="00791B79" w:rsidP="00791B79">
      <w:pPr>
        <w:tabs>
          <w:tab w:val="num" w:pos="426"/>
        </w:tabs>
        <w:spacing w:after="120" w:line="240" w:lineRule="auto"/>
        <w:rPr>
          <w:rFonts w:eastAsia="Times New Roman"/>
          <w:color w:val="000000"/>
          <w:lang w:eastAsia="it-IT"/>
        </w:rPr>
      </w:pPr>
    </w:p>
    <w:p w14:paraId="146E3AD6" w14:textId="77777777" w:rsidR="00791B79" w:rsidRDefault="00791B79" w:rsidP="00791B79">
      <w:pPr>
        <w:tabs>
          <w:tab w:val="num" w:pos="426"/>
        </w:tabs>
        <w:spacing w:after="120" w:line="240" w:lineRule="auto"/>
        <w:rPr>
          <w:rFonts w:eastAsia="Times New Roman"/>
          <w:color w:val="000000"/>
          <w:lang w:eastAsia="it-IT"/>
        </w:rPr>
      </w:pPr>
    </w:p>
    <w:p w14:paraId="63D3E8E6" w14:textId="77777777" w:rsidR="00791B79" w:rsidRDefault="00791B79" w:rsidP="00791B79">
      <w:pPr>
        <w:tabs>
          <w:tab w:val="num" w:pos="426"/>
        </w:tabs>
        <w:spacing w:after="120" w:line="240" w:lineRule="auto"/>
        <w:rPr>
          <w:rFonts w:eastAsia="Times New Roman"/>
          <w:color w:val="000000"/>
          <w:lang w:eastAsia="it-IT"/>
        </w:rPr>
      </w:pPr>
    </w:p>
    <w:p w14:paraId="539AB27E" w14:textId="77777777" w:rsidR="00791B79" w:rsidRPr="00791B79" w:rsidRDefault="00791B79" w:rsidP="00791B79">
      <w:pPr>
        <w:tabs>
          <w:tab w:val="num" w:pos="426"/>
        </w:tabs>
        <w:spacing w:after="120" w:line="240" w:lineRule="auto"/>
        <w:rPr>
          <w:rFonts w:eastAsia="Times New Roman"/>
          <w:color w:val="000000"/>
          <w:lang w:eastAsia="it-IT"/>
        </w:rPr>
      </w:pPr>
    </w:p>
    <w:p w14:paraId="0875E0B6" w14:textId="3B52EBC9" w:rsidR="00F127F4" w:rsidRDefault="00F127F4" w:rsidP="00B23F60">
      <w:pPr>
        <w:pStyle w:val="Paragrafoelenco"/>
        <w:numPr>
          <w:ilvl w:val="0"/>
          <w:numId w:val="6"/>
        </w:numPr>
        <w:tabs>
          <w:tab w:val="clear" w:pos="360"/>
          <w:tab w:val="num" w:pos="426"/>
        </w:tabs>
        <w:spacing w:after="120" w:line="240" w:lineRule="auto"/>
        <w:ind w:left="0" w:firstLine="0"/>
        <w:contextualSpacing w:val="0"/>
      </w:pPr>
      <w:r w:rsidRPr="00DA701F">
        <w:t xml:space="preserve">L’eccesso di mortalità </w:t>
      </w:r>
      <w:r>
        <w:t xml:space="preserve">dei mesi di marzo e aprile 2020 è </w:t>
      </w:r>
      <w:r w:rsidRPr="00DA701F">
        <w:t>più consistente per gli uomini</w:t>
      </w:r>
      <w:r>
        <w:t xml:space="preserve"> di 70-79 anni e di 80-89 anni </w:t>
      </w:r>
      <w:r w:rsidRPr="00DA701F">
        <w:t>per i quali i decessi cumula</w:t>
      </w:r>
      <w:r>
        <w:t>ti dal primo gennaio al 30 aprile 2020 aumentano di oltre 52</w:t>
      </w:r>
      <w:r w:rsidRPr="00DA701F">
        <w:t xml:space="preserve"> punti percentuali rispetto allo stesso periodo della media 2015-2019</w:t>
      </w:r>
      <w:r>
        <w:t xml:space="preserve">; segue la classe di età 90 e più con un incremento del 48%. </w:t>
      </w:r>
    </w:p>
    <w:p w14:paraId="421E18FF" w14:textId="77777777" w:rsidR="00F127F4" w:rsidRPr="00B91A90" w:rsidRDefault="00F127F4" w:rsidP="00F127F4">
      <w:pPr>
        <w:pStyle w:val="Paragrafoelenco"/>
        <w:numPr>
          <w:ilvl w:val="0"/>
          <w:numId w:val="6"/>
        </w:numPr>
        <w:tabs>
          <w:tab w:val="clear" w:pos="360"/>
          <w:tab w:val="num" w:pos="426"/>
        </w:tabs>
        <w:spacing w:after="120" w:line="240" w:lineRule="auto"/>
        <w:ind w:left="0" w:firstLine="0"/>
        <w:contextualSpacing w:val="0"/>
        <w:rPr>
          <w:rFonts w:eastAsia="Times New Roman"/>
          <w:color w:val="000000"/>
          <w:lang w:eastAsia="it-IT"/>
        </w:rPr>
      </w:pPr>
      <w:r w:rsidRPr="00DA701F">
        <w:t xml:space="preserve">L’incremento della mortalità nelle donne è invece più contenuto per tutte le classi di età; raggiunge </w:t>
      </w:r>
      <w:r>
        <w:t>alla fine di aprile</w:t>
      </w:r>
      <w:r w:rsidRPr="00DA701F">
        <w:t xml:space="preserve"> </w:t>
      </w:r>
      <w:r>
        <w:t>il 42</w:t>
      </w:r>
      <w:r w:rsidRPr="00DA701F">
        <w:t xml:space="preserve">% in più della media degli anni 2015-2019 per la classe di età </w:t>
      </w:r>
      <w:r>
        <w:t>90 e più, che risulta essere la più colpita dall’eccesso di mortalità</w:t>
      </w:r>
      <w:r w:rsidRPr="00DA701F">
        <w:t>.</w:t>
      </w:r>
      <w:r w:rsidRPr="00176E62">
        <w:t xml:space="preserve"> </w:t>
      </w:r>
      <w:r>
        <w:t xml:space="preserve">Segue la classe 80-89 con un incremento del 35% e la 70-79 (31%). </w:t>
      </w:r>
    </w:p>
    <w:p w14:paraId="17B1B632" w14:textId="77777777" w:rsidR="00F127F4" w:rsidRDefault="00F127F4" w:rsidP="00F127F4">
      <w:pPr>
        <w:pStyle w:val="Paragrafoelenco"/>
        <w:numPr>
          <w:ilvl w:val="0"/>
          <w:numId w:val="6"/>
        </w:numPr>
        <w:tabs>
          <w:tab w:val="clear" w:pos="360"/>
          <w:tab w:val="num" w:pos="426"/>
        </w:tabs>
        <w:spacing w:after="120" w:line="240" w:lineRule="auto"/>
        <w:ind w:left="0" w:firstLine="0"/>
        <w:contextualSpacing w:val="0"/>
        <w:rPr>
          <w:rFonts w:eastAsia="Times New Roman"/>
          <w:color w:val="000000"/>
          <w:lang w:eastAsia="it-IT"/>
        </w:rPr>
      </w:pPr>
      <w:r w:rsidRPr="00B91A90">
        <w:rPr>
          <w:rFonts w:eastAsia="Times New Roman"/>
          <w:color w:val="000000"/>
          <w:lang w:eastAsia="it-IT"/>
        </w:rPr>
        <w:t xml:space="preserve">La diminuzione via via sempre maggiore del numero di decessi per il complesso delle cause negli ultimi dieci giorni di aprile 2020 riduce </w:t>
      </w:r>
      <w:r>
        <w:rPr>
          <w:rFonts w:eastAsia="Times New Roman"/>
          <w:color w:val="000000"/>
          <w:lang w:eastAsia="it-IT"/>
        </w:rPr>
        <w:t xml:space="preserve">marcatamente </w:t>
      </w:r>
      <w:r w:rsidRPr="00B91A90">
        <w:rPr>
          <w:rFonts w:eastAsia="Times New Roman"/>
          <w:color w:val="000000"/>
          <w:lang w:eastAsia="it-IT"/>
        </w:rPr>
        <w:t>la stima dell’eccesso di mortalità rispetto al 2</w:t>
      </w:r>
      <w:r>
        <w:rPr>
          <w:rFonts w:eastAsia="Times New Roman"/>
          <w:color w:val="000000"/>
          <w:lang w:eastAsia="it-IT"/>
        </w:rPr>
        <w:t>015-2019. Questo può accadere anc</w:t>
      </w:r>
      <w:r w:rsidRPr="00B91A90">
        <w:rPr>
          <w:rFonts w:eastAsia="Times New Roman"/>
          <w:color w:val="000000"/>
          <w:lang w:eastAsia="it-IT"/>
        </w:rPr>
        <w:t xml:space="preserve">he </w:t>
      </w:r>
      <w:r>
        <w:rPr>
          <w:rFonts w:eastAsia="Times New Roman"/>
          <w:color w:val="000000"/>
          <w:lang w:eastAsia="it-IT"/>
        </w:rPr>
        <w:t xml:space="preserve">perché </w:t>
      </w:r>
      <w:r w:rsidRPr="00B91A90">
        <w:rPr>
          <w:rFonts w:eastAsia="Times New Roman"/>
          <w:color w:val="000000"/>
          <w:lang w:eastAsia="it-IT"/>
        </w:rPr>
        <w:t>si è ridotta, per effetto dell’alta mortalità del periodo precedente, la popolazione più fragile e quindi più esposta al rischio di morte.</w:t>
      </w:r>
    </w:p>
    <w:p w14:paraId="17A7618D" w14:textId="77777777" w:rsidR="00F127F4" w:rsidRPr="00B91A90" w:rsidRDefault="00F127F4" w:rsidP="00F127F4">
      <w:pPr>
        <w:pStyle w:val="Paragrafoelenco"/>
        <w:numPr>
          <w:ilvl w:val="0"/>
          <w:numId w:val="6"/>
        </w:numPr>
        <w:tabs>
          <w:tab w:val="clear" w:pos="360"/>
          <w:tab w:val="num" w:pos="426"/>
        </w:tabs>
        <w:spacing w:after="120" w:line="240" w:lineRule="auto"/>
        <w:ind w:left="0" w:firstLine="0"/>
        <w:contextualSpacing w:val="0"/>
        <w:rPr>
          <w:rFonts w:eastAsia="Times New Roman"/>
          <w:iCs w:val="0"/>
          <w:color w:val="000000" w:themeColor="text1"/>
          <w:lang w:eastAsia="it-IT"/>
        </w:rPr>
      </w:pPr>
      <w:r>
        <w:rPr>
          <w:rFonts w:eastAsia="Times New Roman"/>
          <w:iCs w:val="0"/>
          <w:color w:val="000000" w:themeColor="text1"/>
          <w:lang w:eastAsia="it-IT"/>
        </w:rPr>
        <w:t xml:space="preserve">Con la diminuzione dell’eccesso di mortalità aumenta la quota spiegata dai decessi Covid-19: </w:t>
      </w:r>
      <w:r w:rsidRPr="00B91A90">
        <w:rPr>
          <w:rFonts w:eastAsia="Times New Roman"/>
          <w:iCs w:val="0"/>
          <w:color w:val="000000" w:themeColor="text1"/>
          <w:lang w:eastAsia="it-IT"/>
        </w:rPr>
        <w:t>mentre nel mese di marzo dei 26.350 decessi stimati in eccesso il 54% sono stati riportati dalla sorveglianza integrata (14.420), nel mese di aprile dei 16.283 decessi in eccesso l’82% è riportato dalla sorveglianza (13.426).</w:t>
      </w:r>
    </w:p>
    <w:p w14:paraId="0B561958" w14:textId="2C23B695" w:rsidR="00F127F4" w:rsidRPr="00B91A90" w:rsidRDefault="00A5047E" w:rsidP="00F127F4">
      <w:pPr>
        <w:pStyle w:val="Paragrafoelenco"/>
        <w:numPr>
          <w:ilvl w:val="0"/>
          <w:numId w:val="6"/>
        </w:numPr>
        <w:tabs>
          <w:tab w:val="clear" w:pos="360"/>
          <w:tab w:val="num" w:pos="426"/>
        </w:tabs>
        <w:spacing w:after="120" w:line="240" w:lineRule="auto"/>
        <w:ind w:left="0" w:firstLine="0"/>
        <w:contextualSpacing w:val="0"/>
        <w:rPr>
          <w:rFonts w:eastAsia="Times New Roman"/>
          <w:iCs w:val="0"/>
          <w:color w:val="000000" w:themeColor="text1"/>
          <w:lang w:eastAsia="it-IT"/>
        </w:rPr>
      </w:pPr>
      <w:r w:rsidRPr="00A5047E">
        <w:rPr>
          <w:rFonts w:eastAsia="Times New Roman"/>
          <w:color w:val="000000" w:themeColor="text1"/>
          <w:lang w:eastAsia="it-IT"/>
        </w:rPr>
        <w:t xml:space="preserve">La riduzione della quota di eccesso di mortalità totale non spiegata dal Covid-19 è un risultato molto importante documentato nel presente Rapporto. Con i dati oggi a disposizione, si possono solo ipotizzare due possibili cause: è aumentata la capacità diagnostica delle strutture sanitarie e quindi sono stati diagnosticati in maniera più accurata i casi di COVID-19; </w:t>
      </w:r>
      <w:r>
        <w:rPr>
          <w:rFonts w:eastAsia="Times New Roman"/>
          <w:color w:val="000000" w:themeColor="text1"/>
          <w:lang w:eastAsia="it-IT"/>
        </w:rPr>
        <w:t>è diminuita la</w:t>
      </w:r>
      <w:r w:rsidRPr="00A5047E">
        <w:rPr>
          <w:rFonts w:eastAsia="Times New Roman"/>
          <w:color w:val="000000" w:themeColor="text1"/>
          <w:lang w:eastAsia="it-IT"/>
        </w:rPr>
        <w:t xml:space="preserve"> mortalità indiretta non correlata al virus ma causata dalla crisi del sistema ospedaliero nelle aree maggiormente affette. Quest’ultima componente infatti migliora man mano che si riduce la pressione sui sistemi sanitari.</w:t>
      </w:r>
      <w:r w:rsidR="00F127F4" w:rsidRPr="00B91A90">
        <w:rPr>
          <w:color w:val="000000" w:themeColor="text1"/>
        </w:rPr>
        <w:t xml:space="preserve"> </w:t>
      </w:r>
    </w:p>
    <w:p w14:paraId="751C3707" w14:textId="24B285A0" w:rsidR="00E67019" w:rsidRPr="00B91A90" w:rsidRDefault="00982506" w:rsidP="00F127F4">
      <w:pPr>
        <w:pStyle w:val="Paragrafoelenco"/>
        <w:spacing w:after="120" w:line="240" w:lineRule="auto"/>
        <w:ind w:left="0"/>
        <w:contextualSpacing w:val="0"/>
        <w:rPr>
          <w:rFonts w:eastAsia="Times New Roman"/>
          <w:iCs w:val="0"/>
          <w:color w:val="000000" w:themeColor="text1"/>
          <w:lang w:eastAsia="it-IT"/>
        </w:rPr>
      </w:pPr>
      <w:r w:rsidRPr="00B91A90">
        <w:rPr>
          <w:color w:val="000000" w:themeColor="text1"/>
        </w:rPr>
        <w:t xml:space="preserve"> </w:t>
      </w:r>
    </w:p>
    <w:p w14:paraId="295DAAF8" w14:textId="77777777" w:rsidR="004A3DC6" w:rsidRDefault="004A3DC6">
      <w:pPr>
        <w:jc w:val="left"/>
        <w:rPr>
          <w:noProof/>
          <w:color w:val="808080" w:themeColor="background1" w:themeShade="80"/>
          <w:highlight w:val="cyan"/>
        </w:rPr>
      </w:pPr>
      <w:r>
        <w:rPr>
          <w:b/>
          <w:bCs/>
          <w:iCs w:val="0"/>
          <w:noProof/>
          <w:color w:val="808080" w:themeColor="background1" w:themeShade="80"/>
          <w:highlight w:val="cyan"/>
        </w:rPr>
        <w:br w:type="page"/>
      </w:r>
    </w:p>
    <w:p w14:paraId="6EC5848D" w14:textId="77777777" w:rsidR="00CB2E25" w:rsidRPr="008C18E8" w:rsidRDefault="00CB2E25" w:rsidP="00CB2E25">
      <w:pPr>
        <w:pStyle w:val="Titolo2"/>
        <w:rPr>
          <w:sz w:val="16"/>
          <w:szCs w:val="16"/>
        </w:rPr>
      </w:pPr>
    </w:p>
    <w:p w14:paraId="2A7B01DF" w14:textId="77777777" w:rsidR="00CB2E25" w:rsidRPr="001C44B8" w:rsidRDefault="00CB2E25" w:rsidP="00CB2E25">
      <w:pPr>
        <w:pStyle w:val="Titolo2"/>
      </w:pPr>
      <w:r>
        <w:t xml:space="preserve">Le “Tre </w:t>
      </w:r>
      <w:proofErr w:type="spellStart"/>
      <w:r>
        <w:t>Italie</w:t>
      </w:r>
      <w:proofErr w:type="spellEnd"/>
      <w:r>
        <w:t>”</w:t>
      </w:r>
      <w:r w:rsidRPr="001C44B8">
        <w:t xml:space="preserve"> evidenziate dalla Sorveglianza Integrata Covid-19</w:t>
      </w:r>
    </w:p>
    <w:p w14:paraId="4C038A2C" w14:textId="77777777" w:rsidR="00CB2E25" w:rsidRDefault="00CB2E25" w:rsidP="00CB2E25">
      <w:pPr>
        <w:spacing w:after="120" w:line="240" w:lineRule="auto"/>
        <w:rPr>
          <w:color w:val="000000" w:themeColor="text1"/>
        </w:rPr>
      </w:pPr>
      <w:r w:rsidRPr="00136674">
        <w:rPr>
          <w:color w:val="000000" w:themeColor="text1"/>
        </w:rPr>
        <w:t xml:space="preserve">In Italia dall’inizio dell’epidemia (20 </w:t>
      </w:r>
      <w:r>
        <w:rPr>
          <w:color w:val="000000" w:themeColor="text1"/>
        </w:rPr>
        <w:t>f</w:t>
      </w:r>
      <w:r w:rsidRPr="00136674">
        <w:rPr>
          <w:color w:val="000000" w:themeColor="text1"/>
        </w:rPr>
        <w:t xml:space="preserve">ebbraio) fino al 25 </w:t>
      </w:r>
      <w:r>
        <w:rPr>
          <w:color w:val="000000" w:themeColor="text1"/>
        </w:rPr>
        <w:t>m</w:t>
      </w:r>
      <w:r w:rsidRPr="00136674">
        <w:rPr>
          <w:color w:val="000000" w:themeColor="text1"/>
        </w:rPr>
        <w:t xml:space="preserve">aggio 2020 </w:t>
      </w:r>
      <w:r>
        <w:rPr>
          <w:color w:val="000000" w:themeColor="text1"/>
        </w:rPr>
        <w:t xml:space="preserve">(data di aggiornamento della base dati per il presente Rapporto) </w:t>
      </w:r>
      <w:r w:rsidRPr="00136674">
        <w:rPr>
          <w:color w:val="000000" w:themeColor="text1"/>
        </w:rPr>
        <w:t xml:space="preserve">sono stati segnalati al Sistema di </w:t>
      </w:r>
      <w:r>
        <w:rPr>
          <w:color w:val="000000" w:themeColor="text1"/>
        </w:rPr>
        <w:t>S</w:t>
      </w:r>
      <w:r w:rsidRPr="00136674">
        <w:rPr>
          <w:color w:val="000000" w:themeColor="text1"/>
        </w:rPr>
        <w:t xml:space="preserve">orveglianza </w:t>
      </w:r>
      <w:r>
        <w:rPr>
          <w:color w:val="000000" w:themeColor="text1"/>
        </w:rPr>
        <w:t>I</w:t>
      </w:r>
      <w:r w:rsidRPr="00136674">
        <w:rPr>
          <w:color w:val="000000" w:themeColor="text1"/>
        </w:rPr>
        <w:t xml:space="preserve">ntegrato, 227.719 casi positivi di Covid-19 diagnosticati dai </w:t>
      </w:r>
      <w:r>
        <w:rPr>
          <w:color w:val="000000" w:themeColor="text1"/>
        </w:rPr>
        <w:t>L</w:t>
      </w:r>
      <w:r w:rsidRPr="00136674">
        <w:rPr>
          <w:color w:val="000000" w:themeColor="text1"/>
        </w:rPr>
        <w:t xml:space="preserve">aboratori di </w:t>
      </w:r>
      <w:r>
        <w:rPr>
          <w:color w:val="000000" w:themeColor="text1"/>
        </w:rPr>
        <w:t>R</w:t>
      </w:r>
      <w:r w:rsidRPr="00136674">
        <w:rPr>
          <w:color w:val="000000" w:themeColor="text1"/>
        </w:rPr>
        <w:t xml:space="preserve">iferimento regionale, di cui </w:t>
      </w:r>
      <w:r w:rsidRPr="00AD212A">
        <w:rPr>
          <w:b/>
          <w:bCs/>
          <w:color w:val="000000" w:themeColor="text1"/>
        </w:rPr>
        <w:t>209.013</w:t>
      </w:r>
      <w:r w:rsidRPr="00136674">
        <w:rPr>
          <w:color w:val="000000" w:themeColor="text1"/>
        </w:rPr>
        <w:t xml:space="preserve"> fino al 30 </w:t>
      </w:r>
      <w:r>
        <w:rPr>
          <w:color w:val="000000" w:themeColor="text1"/>
        </w:rPr>
        <w:t>a</w:t>
      </w:r>
      <w:r w:rsidRPr="00136674">
        <w:rPr>
          <w:color w:val="000000" w:themeColor="text1"/>
        </w:rPr>
        <w:t xml:space="preserve">prile 2020 (periodo di riferimento del presente Rapporto). </w:t>
      </w:r>
    </w:p>
    <w:p w14:paraId="3ED8A2BC" w14:textId="77777777" w:rsidR="00CB2E25" w:rsidRPr="008C18E8" w:rsidRDefault="00CB2E25" w:rsidP="00CB2E25">
      <w:pPr>
        <w:spacing w:after="120" w:line="240" w:lineRule="auto"/>
        <w:rPr>
          <w:color w:val="000000" w:themeColor="text1"/>
          <w:sz w:val="4"/>
          <w:szCs w:val="4"/>
        </w:rPr>
      </w:pPr>
    </w:p>
    <w:p w14:paraId="2A282CD7" w14:textId="17E7DD97" w:rsidR="00A61D6B" w:rsidRPr="001B2529" w:rsidRDefault="00CB2E25" w:rsidP="00CB2E25">
      <w:pPr>
        <w:rPr>
          <w:bCs/>
          <w:iCs w:val="0"/>
          <w:color w:val="1F3864" w:themeColor="accent5" w:themeShade="80"/>
        </w:rPr>
      </w:pPr>
      <w:r w:rsidRPr="008C18E8">
        <w:rPr>
          <w:b/>
          <w:bCs/>
          <w:iCs w:val="0"/>
          <w:color w:val="1F3864" w:themeColor="accent5" w:themeShade="80"/>
          <w:sz w:val="20"/>
          <w:szCs w:val="20"/>
        </w:rPr>
        <w:t xml:space="preserve">Tabella 1. </w:t>
      </w:r>
      <w:r w:rsidRPr="008C18E8">
        <w:rPr>
          <w:b/>
          <w:bCs/>
          <w:color w:val="1F3864" w:themeColor="accent5" w:themeShade="80"/>
          <w:sz w:val="20"/>
          <w:szCs w:val="20"/>
        </w:rPr>
        <w:t>Distribuzione mensile dei casi segnalati dalle Regioni al Sistema di Sorveglianza integrato dal 1° gennaio 2020 al 25 maggio 2020.</w:t>
      </w:r>
    </w:p>
    <w:p w14:paraId="0D35B8C0" w14:textId="75BDB3FC" w:rsidR="004E2ABC" w:rsidRPr="00A61D6B" w:rsidRDefault="00156D6A" w:rsidP="00A61D6B">
      <w:pPr>
        <w:rPr>
          <w:b/>
          <w:color w:val="000000" w:themeColor="text1"/>
          <w:sz w:val="20"/>
          <w:szCs w:val="20"/>
        </w:rPr>
      </w:pPr>
      <w:r w:rsidRPr="00156D6A">
        <w:rPr>
          <w:noProof/>
          <w:lang w:eastAsia="it-IT"/>
        </w:rPr>
        <w:drawing>
          <wp:inline distT="0" distB="0" distL="0" distR="0" wp14:anchorId="2EB648AD" wp14:editId="0521199F">
            <wp:extent cx="6120130" cy="421665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4216650"/>
                    </a:xfrm>
                    <a:prstGeom prst="rect">
                      <a:avLst/>
                    </a:prstGeom>
                    <a:noFill/>
                    <a:ln>
                      <a:noFill/>
                    </a:ln>
                  </pic:spPr>
                </pic:pic>
              </a:graphicData>
            </a:graphic>
          </wp:inline>
        </w:drawing>
      </w:r>
    </w:p>
    <w:p w14:paraId="7269C05E" w14:textId="21ACCAFA" w:rsidR="00B80C81" w:rsidRDefault="00CB2E25" w:rsidP="007B0026">
      <w:pPr>
        <w:rPr>
          <w:color w:val="000000" w:themeColor="text1"/>
        </w:rPr>
      </w:pPr>
      <w:r>
        <w:rPr>
          <w:color w:val="000000" w:themeColor="text1"/>
        </w:rPr>
        <w:t>Il numero di casi di Covid-19 segnalati in Italia raggiunge il massimo nel mese di marzo, pari a 113.011, e diminuisce dal mese di aprile (94.257) e ancora più marcatamente nel mese di maggio (18.706) (mese non completo e dati aggiornati al 25 maggio).</w:t>
      </w:r>
      <w:r w:rsidR="00B80C81">
        <w:rPr>
          <w:color w:val="000000" w:themeColor="text1"/>
        </w:rPr>
        <w:t xml:space="preserve">  </w:t>
      </w:r>
    </w:p>
    <w:p w14:paraId="33B737D0" w14:textId="77777777" w:rsidR="00CB2E25" w:rsidRDefault="00CB2E25" w:rsidP="00CB2E25">
      <w:pPr>
        <w:spacing w:after="120" w:line="240" w:lineRule="auto"/>
        <w:rPr>
          <w:color w:val="000000" w:themeColor="text1"/>
        </w:rPr>
      </w:pPr>
      <w:r w:rsidRPr="001E51A0">
        <w:rPr>
          <w:color w:val="000000" w:themeColor="text1"/>
        </w:rPr>
        <w:t xml:space="preserve">Come </w:t>
      </w:r>
      <w:r>
        <w:rPr>
          <w:color w:val="000000" w:themeColor="text1"/>
        </w:rPr>
        <w:t xml:space="preserve">già </w:t>
      </w:r>
      <w:r w:rsidRPr="001E51A0">
        <w:rPr>
          <w:color w:val="000000" w:themeColor="text1"/>
        </w:rPr>
        <w:t>evidenziato nel precedente Rapporto</w:t>
      </w:r>
      <w:r>
        <w:rPr>
          <w:rStyle w:val="Rimandonotaapidipagina"/>
          <w:color w:val="000000" w:themeColor="text1"/>
        </w:rPr>
        <w:footnoteReference w:id="5"/>
      </w:r>
      <w:r w:rsidRPr="001E51A0">
        <w:rPr>
          <w:color w:val="000000" w:themeColor="text1"/>
        </w:rPr>
        <w:t xml:space="preserve"> la diffusione geografica dell’epidemia di Covid-19 è eterogenea</w:t>
      </w:r>
      <w:r>
        <w:rPr>
          <w:color w:val="000000" w:themeColor="text1"/>
        </w:rPr>
        <w:t xml:space="preserve"> e </w:t>
      </w:r>
      <w:r w:rsidRPr="001E51A0">
        <w:rPr>
          <w:color w:val="000000" w:themeColor="text1"/>
        </w:rPr>
        <w:t xml:space="preserve">per questo motivo le Province italiane sono state suddivise in tre classi </w:t>
      </w:r>
      <w:r>
        <w:rPr>
          <w:color w:val="000000" w:themeColor="text1"/>
        </w:rPr>
        <w:t xml:space="preserve">(“bassa”, “media” e “alta” diffusione) sulla </w:t>
      </w:r>
      <w:r w:rsidRPr="001E51A0">
        <w:rPr>
          <w:color w:val="000000" w:themeColor="text1"/>
        </w:rPr>
        <w:t>base della distribuzione dei tassi</w:t>
      </w:r>
      <w:r>
        <w:rPr>
          <w:color w:val="000000" w:themeColor="text1"/>
        </w:rPr>
        <w:t xml:space="preserve"> </w:t>
      </w:r>
      <w:r w:rsidRPr="001E51A0">
        <w:rPr>
          <w:color w:val="000000" w:themeColor="text1"/>
        </w:rPr>
        <w:t>standardizzati di incidenza</w:t>
      </w:r>
      <w:r>
        <w:rPr>
          <w:color w:val="000000" w:themeColor="text1"/>
        </w:rPr>
        <w:t xml:space="preserve"> cumulata</w:t>
      </w:r>
      <w:r w:rsidRPr="001E51A0">
        <w:rPr>
          <w:color w:val="000000" w:themeColor="text1"/>
          <w:vertAlign w:val="superscript"/>
        </w:rPr>
        <w:footnoteReference w:id="6"/>
      </w:r>
      <w:r w:rsidRPr="001E51A0">
        <w:rPr>
          <w:color w:val="000000" w:themeColor="text1"/>
        </w:rPr>
        <w:t xml:space="preserve"> al 30 aprile</w:t>
      </w:r>
      <w:r>
        <w:rPr>
          <w:color w:val="000000" w:themeColor="text1"/>
        </w:rPr>
        <w:t xml:space="preserve"> 2020</w:t>
      </w:r>
      <w:r w:rsidRPr="001E51A0">
        <w:rPr>
          <w:color w:val="000000" w:themeColor="text1"/>
        </w:rPr>
        <w:t xml:space="preserve">. </w:t>
      </w:r>
    </w:p>
    <w:p w14:paraId="16E4EF3F" w14:textId="456555FF" w:rsidR="00CB2E25" w:rsidRPr="00A61D6B" w:rsidRDefault="00CB2E25" w:rsidP="00CB2E25">
      <w:pPr>
        <w:spacing w:line="240" w:lineRule="auto"/>
        <w:rPr>
          <w:color w:val="000000" w:themeColor="text1"/>
        </w:rPr>
      </w:pPr>
      <w:r>
        <w:rPr>
          <w:color w:val="000000" w:themeColor="text1"/>
        </w:rPr>
        <w:lastRenderedPageBreak/>
        <w:t>In particolare, l</w:t>
      </w:r>
      <w:r w:rsidRPr="00A61D6B">
        <w:rPr>
          <w:color w:val="000000" w:themeColor="text1"/>
        </w:rPr>
        <w:t>a distribuzione d</w:t>
      </w:r>
      <w:r>
        <w:rPr>
          <w:color w:val="000000" w:themeColor="text1"/>
        </w:rPr>
        <w:t>e</w:t>
      </w:r>
      <w:r w:rsidRPr="00A61D6B">
        <w:rPr>
          <w:color w:val="000000" w:themeColor="text1"/>
        </w:rPr>
        <w:t xml:space="preserve">i tassi </w:t>
      </w:r>
      <w:r>
        <w:rPr>
          <w:color w:val="000000" w:themeColor="text1"/>
        </w:rPr>
        <w:t xml:space="preserve">standardizzati </w:t>
      </w:r>
      <w:r w:rsidRPr="00A61D6B">
        <w:rPr>
          <w:color w:val="000000" w:themeColor="text1"/>
        </w:rPr>
        <w:t xml:space="preserve">è stata divisa </w:t>
      </w:r>
      <w:r>
        <w:rPr>
          <w:color w:val="000000" w:themeColor="text1"/>
        </w:rPr>
        <w:t>nelle seguenti</w:t>
      </w:r>
      <w:r w:rsidRPr="00A61D6B">
        <w:rPr>
          <w:color w:val="000000" w:themeColor="text1"/>
        </w:rPr>
        <w:t xml:space="preserve"> tre classi: la prima, definita a diffusione</w:t>
      </w:r>
      <w:r>
        <w:rPr>
          <w:color w:val="000000" w:themeColor="text1"/>
        </w:rPr>
        <w:t xml:space="preserve"> </w:t>
      </w:r>
      <w:r w:rsidRPr="00A61D6B">
        <w:rPr>
          <w:color w:val="000000" w:themeColor="text1"/>
        </w:rPr>
        <w:t xml:space="preserve">”bassa”, comprende le </w:t>
      </w:r>
      <w:r>
        <w:rPr>
          <w:color w:val="000000" w:themeColor="text1"/>
        </w:rPr>
        <w:t>p</w:t>
      </w:r>
      <w:r w:rsidRPr="00A61D6B">
        <w:rPr>
          <w:color w:val="000000" w:themeColor="text1"/>
        </w:rPr>
        <w:t>rovince con valori del tasso inferiore a 60 casi per 100mila residenti (</w:t>
      </w:r>
      <w:r w:rsidR="0082296D" w:rsidRPr="00A61D6B">
        <w:rPr>
          <w:color w:val="000000" w:themeColor="text1"/>
        </w:rPr>
        <w:t>34 province</w:t>
      </w:r>
      <w:r w:rsidR="0082296D">
        <w:rPr>
          <w:color w:val="000000" w:themeColor="text1"/>
        </w:rPr>
        <w:t>, principalmente Sud e Isole</w:t>
      </w:r>
      <w:r w:rsidRPr="00A61D6B">
        <w:rPr>
          <w:color w:val="000000" w:themeColor="text1"/>
        </w:rPr>
        <w:t>)</w:t>
      </w:r>
      <w:r>
        <w:rPr>
          <w:color w:val="000000" w:themeColor="text1"/>
        </w:rPr>
        <w:t>;</w:t>
      </w:r>
      <w:r w:rsidRPr="00A61D6B">
        <w:rPr>
          <w:color w:val="000000" w:themeColor="text1"/>
        </w:rPr>
        <w:t xml:space="preserve"> la seconda, definita a diffusione “media”, comprende le province con valori del tasso tra i 60 e i 150 casi </w:t>
      </w:r>
      <w:r>
        <w:rPr>
          <w:color w:val="000000" w:themeColor="text1"/>
        </w:rPr>
        <w:t xml:space="preserve">per </w:t>
      </w:r>
      <w:r w:rsidRPr="00A61D6B">
        <w:rPr>
          <w:color w:val="000000" w:themeColor="text1"/>
        </w:rPr>
        <w:t>100mila residenti (</w:t>
      </w:r>
      <w:r w:rsidR="0082296D" w:rsidRPr="00A61D6B">
        <w:rPr>
          <w:color w:val="000000" w:themeColor="text1"/>
        </w:rPr>
        <w:t>32</w:t>
      </w:r>
      <w:r w:rsidR="0082296D">
        <w:rPr>
          <w:color w:val="000000" w:themeColor="text1"/>
        </w:rPr>
        <w:t xml:space="preserve"> province, in gran parte Italia Centrale</w:t>
      </w:r>
      <w:r w:rsidRPr="00A61D6B">
        <w:rPr>
          <w:color w:val="000000" w:themeColor="text1"/>
        </w:rPr>
        <w:t>)</w:t>
      </w:r>
      <w:r>
        <w:rPr>
          <w:color w:val="000000" w:themeColor="text1"/>
        </w:rPr>
        <w:t>;</w:t>
      </w:r>
      <w:r w:rsidRPr="00A61D6B">
        <w:rPr>
          <w:color w:val="000000" w:themeColor="text1"/>
        </w:rPr>
        <w:t xml:space="preserve"> la terza classe, definita a diffusione “alta“, include le province con valori superiori ai 150 casi </w:t>
      </w:r>
      <w:r>
        <w:rPr>
          <w:color w:val="000000" w:themeColor="text1"/>
        </w:rPr>
        <w:t>per</w:t>
      </w:r>
      <w:r w:rsidRPr="00A61D6B">
        <w:rPr>
          <w:color w:val="000000" w:themeColor="text1"/>
        </w:rPr>
        <w:t xml:space="preserve"> 100mila residenti</w:t>
      </w:r>
      <w:r w:rsidRPr="00A61D6B">
        <w:rPr>
          <w:rStyle w:val="Rimandonotaapidipagina"/>
          <w:color w:val="000000" w:themeColor="text1"/>
        </w:rPr>
        <w:footnoteReference w:id="7"/>
      </w:r>
      <w:r w:rsidRPr="00A61D6B">
        <w:rPr>
          <w:color w:val="000000" w:themeColor="text1"/>
        </w:rPr>
        <w:t xml:space="preserve"> (41</w:t>
      </w:r>
      <w:r w:rsidR="0082296D">
        <w:rPr>
          <w:color w:val="000000" w:themeColor="text1"/>
        </w:rPr>
        <w:t>, in gran parte dell’Italia settentrionale</w:t>
      </w:r>
      <w:r w:rsidRPr="00A61D6B">
        <w:rPr>
          <w:color w:val="000000" w:themeColor="text1"/>
        </w:rPr>
        <w:t>).</w:t>
      </w:r>
    </w:p>
    <w:p w14:paraId="67BAFEB4" w14:textId="2D3A522D" w:rsidR="00CB2E25" w:rsidRDefault="00CB2E25" w:rsidP="00CB2E25">
      <w:pPr>
        <w:spacing w:line="240" w:lineRule="auto"/>
        <w:rPr>
          <w:color w:val="000000" w:themeColor="text1"/>
        </w:rPr>
      </w:pPr>
      <w:r w:rsidRPr="00A61D6B">
        <w:rPr>
          <w:color w:val="000000" w:themeColor="text1"/>
        </w:rPr>
        <w:t xml:space="preserve">La Figura 1 mostra l’andamento del numero di casi di Covid-19 segnalati </w:t>
      </w:r>
      <w:r>
        <w:rPr>
          <w:color w:val="000000" w:themeColor="text1"/>
        </w:rPr>
        <w:t xml:space="preserve">in Italia </w:t>
      </w:r>
      <w:r w:rsidRPr="00A61D6B">
        <w:rPr>
          <w:color w:val="000000" w:themeColor="text1"/>
        </w:rPr>
        <w:t>per data di prelievo</w:t>
      </w:r>
      <w:r>
        <w:rPr>
          <w:color w:val="000000" w:themeColor="text1"/>
        </w:rPr>
        <w:t xml:space="preserve"> o </w:t>
      </w:r>
      <w:r w:rsidRPr="00A61D6B">
        <w:rPr>
          <w:color w:val="000000" w:themeColor="text1"/>
        </w:rPr>
        <w:t xml:space="preserve">diagnosi nelle aree a bassa, media e alta incidenza. </w:t>
      </w:r>
      <w:r w:rsidRPr="00E13C1F">
        <w:rPr>
          <w:color w:val="000000" w:themeColor="text1"/>
        </w:rPr>
        <w:t>La curva epidemica evidenzia un inizio anticipato dell’epide</w:t>
      </w:r>
      <w:r w:rsidRPr="0021302F">
        <w:rPr>
          <w:color w:val="000000" w:themeColor="text1"/>
        </w:rPr>
        <w:t xml:space="preserve">mia nelle aree ad alta incidenza, i casi segnalati raggiungono il picco il 20 marzo 2020 </w:t>
      </w:r>
      <w:r>
        <w:rPr>
          <w:color w:val="000000" w:themeColor="text1"/>
        </w:rPr>
        <w:t>(</w:t>
      </w:r>
      <w:r w:rsidRPr="00AD212A">
        <w:rPr>
          <w:color w:val="000000" w:themeColor="text1"/>
        </w:rPr>
        <w:t>4.367</w:t>
      </w:r>
      <w:r>
        <w:rPr>
          <w:color w:val="000000" w:themeColor="text1"/>
        </w:rPr>
        <w:t>)</w:t>
      </w:r>
      <w:r w:rsidRPr="00AD212A">
        <w:rPr>
          <w:color w:val="000000" w:themeColor="text1"/>
        </w:rPr>
        <w:t xml:space="preserve"> per poi diminuire costantemente. Le aree a </w:t>
      </w:r>
      <w:r>
        <w:rPr>
          <w:color w:val="000000" w:themeColor="text1"/>
        </w:rPr>
        <w:t>“</w:t>
      </w:r>
      <w:r w:rsidRPr="00AD212A">
        <w:rPr>
          <w:color w:val="000000" w:themeColor="text1"/>
        </w:rPr>
        <w:t>media</w:t>
      </w:r>
      <w:r>
        <w:rPr>
          <w:color w:val="000000" w:themeColor="text1"/>
        </w:rPr>
        <w:t>”</w:t>
      </w:r>
      <w:r w:rsidRPr="00AD212A">
        <w:rPr>
          <w:color w:val="000000" w:themeColor="text1"/>
        </w:rPr>
        <w:t xml:space="preserve"> e </w:t>
      </w:r>
      <w:r>
        <w:rPr>
          <w:color w:val="000000" w:themeColor="text1"/>
        </w:rPr>
        <w:t>“</w:t>
      </w:r>
      <w:r w:rsidRPr="00AD212A">
        <w:rPr>
          <w:color w:val="000000" w:themeColor="text1"/>
        </w:rPr>
        <w:t>bassa</w:t>
      </w:r>
      <w:r>
        <w:rPr>
          <w:color w:val="000000" w:themeColor="text1"/>
        </w:rPr>
        <w:t>”</w:t>
      </w:r>
      <w:r w:rsidRPr="00AD212A">
        <w:rPr>
          <w:color w:val="000000" w:themeColor="text1"/>
        </w:rPr>
        <w:t xml:space="preserve"> incidenza raggiungono il picco successivamente a quelle con alta incidenza. Il 20 marzo sono stati segnalati in totale </w:t>
      </w:r>
      <w:r w:rsidRPr="0021302F">
        <w:rPr>
          <w:color w:val="000000" w:themeColor="text1"/>
        </w:rPr>
        <w:t xml:space="preserve">6.106 casi </w:t>
      </w:r>
      <w:r w:rsidRPr="007762B3">
        <w:rPr>
          <w:color w:val="000000" w:themeColor="text1"/>
        </w:rPr>
        <w:t>di cui 4</w:t>
      </w:r>
      <w:r w:rsidRPr="00AD212A">
        <w:rPr>
          <w:color w:val="000000" w:themeColor="text1"/>
        </w:rPr>
        <w:t>.</w:t>
      </w:r>
      <w:r w:rsidRPr="00E13C1F">
        <w:rPr>
          <w:color w:val="000000" w:themeColor="text1"/>
        </w:rPr>
        <w:t>367</w:t>
      </w:r>
      <w:r w:rsidRPr="00AD212A">
        <w:rPr>
          <w:color w:val="000000" w:themeColor="text1"/>
        </w:rPr>
        <w:t xml:space="preserve"> (</w:t>
      </w:r>
      <w:r w:rsidRPr="0021302F">
        <w:rPr>
          <w:color w:val="000000" w:themeColor="text1"/>
        </w:rPr>
        <w:t>72%</w:t>
      </w:r>
      <w:r w:rsidRPr="00AD212A">
        <w:rPr>
          <w:color w:val="000000" w:themeColor="text1"/>
        </w:rPr>
        <w:t xml:space="preserve">) </w:t>
      </w:r>
      <w:r w:rsidRPr="0021302F">
        <w:rPr>
          <w:color w:val="000000" w:themeColor="text1"/>
        </w:rPr>
        <w:t xml:space="preserve">nelle </w:t>
      </w:r>
      <w:r w:rsidRPr="00AD212A">
        <w:rPr>
          <w:color w:val="000000" w:themeColor="text1"/>
        </w:rPr>
        <w:t>P</w:t>
      </w:r>
      <w:r w:rsidRPr="0021302F">
        <w:rPr>
          <w:color w:val="000000" w:themeColor="text1"/>
        </w:rPr>
        <w:t xml:space="preserve">rovince ad </w:t>
      </w:r>
      <w:r>
        <w:rPr>
          <w:color w:val="000000" w:themeColor="text1"/>
        </w:rPr>
        <w:t>“</w:t>
      </w:r>
      <w:r w:rsidRPr="00E13C1F">
        <w:rPr>
          <w:color w:val="000000" w:themeColor="text1"/>
        </w:rPr>
        <w:t>alta</w:t>
      </w:r>
      <w:r>
        <w:rPr>
          <w:color w:val="000000" w:themeColor="text1"/>
        </w:rPr>
        <w:t>”</w:t>
      </w:r>
      <w:r w:rsidRPr="00E13C1F">
        <w:rPr>
          <w:color w:val="000000" w:themeColor="text1"/>
        </w:rPr>
        <w:t xml:space="preserve"> diffusione, 1</w:t>
      </w:r>
      <w:r w:rsidRPr="00AD212A">
        <w:rPr>
          <w:color w:val="000000" w:themeColor="text1"/>
        </w:rPr>
        <w:t>.</w:t>
      </w:r>
      <w:r w:rsidRPr="00E13C1F">
        <w:rPr>
          <w:color w:val="000000" w:themeColor="text1"/>
        </w:rPr>
        <w:t>221</w:t>
      </w:r>
      <w:r w:rsidRPr="00AD212A">
        <w:rPr>
          <w:color w:val="000000" w:themeColor="text1"/>
        </w:rPr>
        <w:t xml:space="preserve"> (</w:t>
      </w:r>
      <w:r w:rsidRPr="0021302F">
        <w:rPr>
          <w:color w:val="000000" w:themeColor="text1"/>
        </w:rPr>
        <w:t>20%</w:t>
      </w:r>
      <w:r w:rsidRPr="00AD212A">
        <w:rPr>
          <w:color w:val="000000" w:themeColor="text1"/>
        </w:rPr>
        <w:t>)</w:t>
      </w:r>
      <w:r w:rsidRPr="00E13C1F">
        <w:rPr>
          <w:color w:val="000000" w:themeColor="text1"/>
        </w:rPr>
        <w:t xml:space="preserve"> nelle </w:t>
      </w:r>
      <w:r w:rsidRPr="00AD212A">
        <w:rPr>
          <w:color w:val="000000" w:themeColor="text1"/>
        </w:rPr>
        <w:t>P</w:t>
      </w:r>
      <w:r w:rsidRPr="00E13C1F">
        <w:rPr>
          <w:color w:val="000000" w:themeColor="text1"/>
        </w:rPr>
        <w:t xml:space="preserve">rovince </w:t>
      </w:r>
      <w:r w:rsidRPr="0021302F">
        <w:rPr>
          <w:color w:val="000000" w:themeColor="text1"/>
        </w:rPr>
        <w:t xml:space="preserve">a </w:t>
      </w:r>
      <w:r>
        <w:rPr>
          <w:color w:val="000000" w:themeColor="text1"/>
        </w:rPr>
        <w:t>“</w:t>
      </w:r>
      <w:r w:rsidRPr="00E13C1F">
        <w:rPr>
          <w:color w:val="000000" w:themeColor="text1"/>
        </w:rPr>
        <w:t>media</w:t>
      </w:r>
      <w:r>
        <w:rPr>
          <w:color w:val="000000" w:themeColor="text1"/>
        </w:rPr>
        <w:t>”</w:t>
      </w:r>
      <w:r w:rsidRPr="00E13C1F">
        <w:rPr>
          <w:color w:val="000000" w:themeColor="text1"/>
        </w:rPr>
        <w:t xml:space="preserve"> diffusione e 518</w:t>
      </w:r>
      <w:r w:rsidRPr="00AD212A">
        <w:rPr>
          <w:color w:val="000000" w:themeColor="text1"/>
        </w:rPr>
        <w:t xml:space="preserve"> (</w:t>
      </w:r>
      <w:r w:rsidRPr="0021302F">
        <w:rPr>
          <w:color w:val="000000" w:themeColor="text1"/>
        </w:rPr>
        <w:t>8%</w:t>
      </w:r>
      <w:r w:rsidRPr="00AD212A">
        <w:rPr>
          <w:color w:val="000000" w:themeColor="text1"/>
        </w:rPr>
        <w:t>)</w:t>
      </w:r>
      <w:r w:rsidRPr="00E13C1F">
        <w:rPr>
          <w:color w:val="000000" w:themeColor="text1"/>
        </w:rPr>
        <w:t xml:space="preserve"> nelle </w:t>
      </w:r>
      <w:r w:rsidRPr="00AD212A">
        <w:rPr>
          <w:color w:val="000000" w:themeColor="text1"/>
        </w:rPr>
        <w:t>P</w:t>
      </w:r>
      <w:r w:rsidRPr="0021302F">
        <w:rPr>
          <w:color w:val="000000" w:themeColor="text1"/>
        </w:rPr>
        <w:t xml:space="preserve">rovince a </w:t>
      </w:r>
      <w:r>
        <w:rPr>
          <w:color w:val="000000" w:themeColor="text1"/>
        </w:rPr>
        <w:t>“</w:t>
      </w:r>
      <w:r w:rsidRPr="00E13C1F">
        <w:rPr>
          <w:color w:val="000000" w:themeColor="text1"/>
        </w:rPr>
        <w:t>bassa</w:t>
      </w:r>
      <w:r>
        <w:rPr>
          <w:color w:val="000000" w:themeColor="text1"/>
        </w:rPr>
        <w:t>”</w:t>
      </w:r>
      <w:r w:rsidRPr="00E13C1F">
        <w:rPr>
          <w:color w:val="000000" w:themeColor="text1"/>
        </w:rPr>
        <w:t xml:space="preserve"> diffusione</w:t>
      </w:r>
      <w:r w:rsidRPr="00E13C1F">
        <w:rPr>
          <w:rStyle w:val="Rimandonotaapidipagina"/>
          <w:color w:val="000000" w:themeColor="text1"/>
        </w:rPr>
        <w:footnoteReference w:id="8"/>
      </w:r>
      <w:r w:rsidRPr="00E13C1F">
        <w:rPr>
          <w:color w:val="000000" w:themeColor="text1"/>
        </w:rPr>
        <w:t>.</w:t>
      </w:r>
      <w:r w:rsidRPr="00A61D6B">
        <w:rPr>
          <w:color w:val="000000" w:themeColor="text1"/>
        </w:rPr>
        <w:t xml:space="preserve"> </w:t>
      </w:r>
    </w:p>
    <w:p w14:paraId="316F5AB2" w14:textId="77777777" w:rsidR="00B23F60" w:rsidRPr="00A61D6B" w:rsidRDefault="00B23F60" w:rsidP="00CB2E25">
      <w:pPr>
        <w:spacing w:line="240" w:lineRule="auto"/>
        <w:rPr>
          <w:color w:val="000000" w:themeColor="text1"/>
        </w:rPr>
      </w:pPr>
    </w:p>
    <w:p w14:paraId="3D1F1857" w14:textId="0BCA2FC9" w:rsidR="00A61D6B" w:rsidRPr="006C3FBA" w:rsidRDefault="00CB2E25" w:rsidP="00CB2E25">
      <w:pPr>
        <w:rPr>
          <w:color w:val="1F3864" w:themeColor="accent5" w:themeShade="80"/>
        </w:rPr>
      </w:pPr>
      <w:r w:rsidRPr="008C18E8">
        <w:rPr>
          <w:b/>
          <w:bCs/>
          <w:color w:val="1F3864" w:themeColor="accent5" w:themeShade="80"/>
          <w:sz w:val="20"/>
          <w:szCs w:val="20"/>
        </w:rPr>
        <w:t xml:space="preserve">Figura 1. Andamento giornaliero dei casi segnalati al Sistema di Sorveglianza Integrata Covid-19, per area di diffusione dell’epidemia. </w:t>
      </w:r>
      <w:r w:rsidRPr="006C3FBA">
        <w:rPr>
          <w:color w:val="1F3864" w:themeColor="accent5" w:themeShade="80"/>
          <w:sz w:val="20"/>
          <w:szCs w:val="20"/>
        </w:rPr>
        <w:t>Periodo 29 gennaio-30 aprile 2020.</w:t>
      </w:r>
    </w:p>
    <w:p w14:paraId="21CCDEF4" w14:textId="4025BF51" w:rsidR="00A61D6B" w:rsidRDefault="002B1AC0" w:rsidP="00A61D6B">
      <w:r>
        <w:rPr>
          <w:noProof/>
          <w:lang w:eastAsia="it-IT"/>
        </w:rPr>
        <w:drawing>
          <wp:inline distT="0" distB="0" distL="0" distR="0" wp14:anchorId="54506315" wp14:editId="3927D94D">
            <wp:extent cx="6164422" cy="2209800"/>
            <wp:effectExtent l="0" t="0" r="8255"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1818" cy="2216036"/>
                    </a:xfrm>
                    <a:prstGeom prst="rect">
                      <a:avLst/>
                    </a:prstGeom>
                    <a:noFill/>
                  </pic:spPr>
                </pic:pic>
              </a:graphicData>
            </a:graphic>
          </wp:inline>
        </w:drawing>
      </w:r>
    </w:p>
    <w:p w14:paraId="6473174B" w14:textId="721228EF" w:rsidR="006C7341" w:rsidRPr="00CB2E25" w:rsidRDefault="006C7341" w:rsidP="006C7341">
      <w:pPr>
        <w:rPr>
          <w:i/>
          <w:iCs w:val="0"/>
          <w:color w:val="000000" w:themeColor="text1"/>
          <w:sz w:val="16"/>
          <w:szCs w:val="16"/>
        </w:rPr>
      </w:pPr>
      <w:r w:rsidRPr="00CB2E25">
        <w:rPr>
          <w:i/>
          <w:iCs w:val="0"/>
          <w:color w:val="000000" w:themeColor="text1"/>
          <w:sz w:val="16"/>
          <w:szCs w:val="16"/>
        </w:rPr>
        <w:t xml:space="preserve">Fonte: </w:t>
      </w:r>
      <w:proofErr w:type="spellStart"/>
      <w:r w:rsidRPr="00CB2E25">
        <w:rPr>
          <w:i/>
          <w:iCs w:val="0"/>
          <w:color w:val="000000" w:themeColor="text1"/>
          <w:sz w:val="16"/>
          <w:szCs w:val="16"/>
        </w:rPr>
        <w:t>Iss</w:t>
      </w:r>
      <w:proofErr w:type="spellEnd"/>
      <w:r w:rsidRPr="00CB2E25">
        <w:rPr>
          <w:i/>
          <w:iCs w:val="0"/>
          <w:color w:val="000000" w:themeColor="text1"/>
          <w:sz w:val="16"/>
          <w:szCs w:val="16"/>
        </w:rPr>
        <w:t>, Sistema di Sorveglianza integrata Covid-19</w:t>
      </w:r>
      <w:r w:rsidR="004E2ABC" w:rsidRPr="00CB2E25">
        <w:rPr>
          <w:i/>
          <w:iCs w:val="0"/>
          <w:color w:val="000000" w:themeColor="text1"/>
          <w:sz w:val="16"/>
          <w:szCs w:val="16"/>
        </w:rPr>
        <w:t>, (aggiornamento 25 maggio 2020)</w:t>
      </w:r>
    </w:p>
    <w:p w14:paraId="7E3AC86F" w14:textId="77777777" w:rsidR="00A733C7" w:rsidRDefault="00A733C7" w:rsidP="00A61D6B">
      <w:pPr>
        <w:rPr>
          <w:color w:val="000000" w:themeColor="text1"/>
        </w:rPr>
      </w:pPr>
    </w:p>
    <w:p w14:paraId="3D33147F" w14:textId="403CE351" w:rsidR="00A61D6B" w:rsidRPr="00A61D6B" w:rsidRDefault="00844488" w:rsidP="00A61D6B">
      <w:pPr>
        <w:rPr>
          <w:color w:val="000000" w:themeColor="text1"/>
        </w:rPr>
      </w:pPr>
      <w:r w:rsidRPr="00A61D6B">
        <w:rPr>
          <w:color w:val="000000" w:themeColor="text1"/>
        </w:rPr>
        <w:t xml:space="preserve">Complessivamente il 75% dei casi segnalati si trovano nelle </w:t>
      </w:r>
      <w:r>
        <w:rPr>
          <w:color w:val="000000" w:themeColor="text1"/>
        </w:rPr>
        <w:t>P</w:t>
      </w:r>
      <w:r w:rsidRPr="00A61D6B">
        <w:rPr>
          <w:color w:val="000000" w:themeColor="text1"/>
        </w:rPr>
        <w:t xml:space="preserve">rovince definite a diffusione </w:t>
      </w:r>
      <w:r>
        <w:rPr>
          <w:color w:val="000000" w:themeColor="text1"/>
        </w:rPr>
        <w:t>“</w:t>
      </w:r>
      <w:r w:rsidRPr="00A61D6B">
        <w:rPr>
          <w:color w:val="000000" w:themeColor="text1"/>
        </w:rPr>
        <w:t>alta</w:t>
      </w:r>
      <w:r>
        <w:rPr>
          <w:color w:val="000000" w:themeColor="text1"/>
        </w:rPr>
        <w:t>”</w:t>
      </w:r>
      <w:r w:rsidRPr="00A61D6B">
        <w:rPr>
          <w:color w:val="000000" w:themeColor="text1"/>
        </w:rPr>
        <w:t xml:space="preserve">, il 17% </w:t>
      </w:r>
      <w:r>
        <w:rPr>
          <w:color w:val="000000" w:themeColor="text1"/>
        </w:rPr>
        <w:t>in quelle</w:t>
      </w:r>
      <w:r w:rsidRPr="00A61D6B">
        <w:rPr>
          <w:color w:val="000000" w:themeColor="text1"/>
        </w:rPr>
        <w:t xml:space="preserve"> a diffusione </w:t>
      </w:r>
      <w:r>
        <w:rPr>
          <w:color w:val="000000" w:themeColor="text1"/>
        </w:rPr>
        <w:t>“</w:t>
      </w:r>
      <w:r w:rsidRPr="00A61D6B">
        <w:rPr>
          <w:color w:val="000000" w:themeColor="text1"/>
        </w:rPr>
        <w:t>media</w:t>
      </w:r>
      <w:r>
        <w:rPr>
          <w:color w:val="000000" w:themeColor="text1"/>
        </w:rPr>
        <w:t>”</w:t>
      </w:r>
      <w:r w:rsidRPr="00A61D6B">
        <w:rPr>
          <w:color w:val="000000" w:themeColor="text1"/>
        </w:rPr>
        <w:t xml:space="preserve"> e l’8% nelle </w:t>
      </w:r>
      <w:r>
        <w:rPr>
          <w:color w:val="000000" w:themeColor="text1"/>
        </w:rPr>
        <w:t>P</w:t>
      </w:r>
      <w:r w:rsidRPr="00A61D6B">
        <w:rPr>
          <w:color w:val="000000" w:themeColor="text1"/>
        </w:rPr>
        <w:t xml:space="preserve">rovince a diffusione </w:t>
      </w:r>
      <w:r>
        <w:rPr>
          <w:color w:val="000000" w:themeColor="text1"/>
        </w:rPr>
        <w:t>“</w:t>
      </w:r>
      <w:r w:rsidRPr="00A61D6B">
        <w:rPr>
          <w:color w:val="000000" w:themeColor="text1"/>
        </w:rPr>
        <w:t>bassa</w:t>
      </w:r>
      <w:r>
        <w:rPr>
          <w:color w:val="000000" w:themeColor="text1"/>
        </w:rPr>
        <w:t>”</w:t>
      </w:r>
      <w:r w:rsidRPr="00A61D6B">
        <w:rPr>
          <w:color w:val="000000" w:themeColor="text1"/>
        </w:rPr>
        <w:t>.</w:t>
      </w:r>
    </w:p>
    <w:p w14:paraId="1025D7A7" w14:textId="77777777" w:rsidR="00844488" w:rsidRDefault="00844488" w:rsidP="00844488">
      <w:pPr>
        <w:spacing w:line="240" w:lineRule="auto"/>
        <w:rPr>
          <w:color w:val="000000" w:themeColor="text1"/>
        </w:rPr>
      </w:pPr>
      <w:r>
        <w:rPr>
          <w:color w:val="000000" w:themeColor="text1"/>
        </w:rPr>
        <w:t xml:space="preserve">Nel mese di marzo 2020 </w:t>
      </w:r>
      <w:r w:rsidRPr="00A61D6B">
        <w:rPr>
          <w:color w:val="000000" w:themeColor="text1"/>
        </w:rPr>
        <w:t xml:space="preserve">sono </w:t>
      </w:r>
      <w:r>
        <w:rPr>
          <w:color w:val="000000" w:themeColor="text1"/>
        </w:rPr>
        <w:t>presenti</w:t>
      </w:r>
      <w:r w:rsidRPr="00A61D6B">
        <w:rPr>
          <w:color w:val="000000" w:themeColor="text1"/>
        </w:rPr>
        <w:t xml:space="preserve"> </w:t>
      </w:r>
      <w:r>
        <w:rPr>
          <w:color w:val="000000" w:themeColor="text1"/>
        </w:rPr>
        <w:t>ulteriori</w:t>
      </w:r>
      <w:r w:rsidRPr="00A61D6B">
        <w:rPr>
          <w:color w:val="000000" w:themeColor="text1"/>
        </w:rPr>
        <w:t xml:space="preserve"> 1.444 casi</w:t>
      </w:r>
      <w:r>
        <w:rPr>
          <w:color w:val="000000" w:themeColor="text1"/>
        </w:rPr>
        <w:t>, rispetto al precedente Rapporto, perché segnalati al Sistema di Sorveglianza Integrata Covid-19 successivamente alla data di aggiornamento del primo Rapporto</w:t>
      </w:r>
      <w:r w:rsidRPr="00A61D6B">
        <w:rPr>
          <w:color w:val="000000" w:themeColor="text1"/>
        </w:rPr>
        <w:t xml:space="preserve"> (26 aprile 2020). </w:t>
      </w:r>
    </w:p>
    <w:p w14:paraId="71AC983F" w14:textId="3B251680" w:rsidR="00B23F60" w:rsidRDefault="00844488" w:rsidP="00791B79">
      <w:pPr>
        <w:spacing w:after="120" w:line="240" w:lineRule="auto"/>
        <w:rPr>
          <w:color w:val="000000" w:themeColor="text1"/>
        </w:rPr>
      </w:pPr>
      <w:r w:rsidRPr="00A61D6B">
        <w:rPr>
          <w:color w:val="000000" w:themeColor="text1"/>
        </w:rPr>
        <w:t xml:space="preserve">Se si analizza la </w:t>
      </w:r>
      <w:r>
        <w:rPr>
          <w:color w:val="000000" w:themeColor="text1"/>
        </w:rPr>
        <w:t xml:space="preserve">distribuzione delle Province </w:t>
      </w:r>
      <w:r w:rsidRPr="00A61D6B">
        <w:rPr>
          <w:color w:val="000000" w:themeColor="text1"/>
        </w:rPr>
        <w:t xml:space="preserve">per </w:t>
      </w:r>
      <w:r>
        <w:rPr>
          <w:color w:val="000000" w:themeColor="text1"/>
        </w:rPr>
        <w:t xml:space="preserve">le </w:t>
      </w:r>
      <w:r w:rsidRPr="00A61D6B">
        <w:rPr>
          <w:color w:val="000000" w:themeColor="text1"/>
        </w:rPr>
        <w:t xml:space="preserve">classi di diffusione </w:t>
      </w:r>
      <w:r>
        <w:rPr>
          <w:color w:val="000000" w:themeColor="text1"/>
        </w:rPr>
        <w:t xml:space="preserve">aggiornate </w:t>
      </w:r>
      <w:r w:rsidRPr="00A61D6B">
        <w:rPr>
          <w:color w:val="000000" w:themeColor="text1"/>
        </w:rPr>
        <w:t xml:space="preserve">al 30 aprile </w:t>
      </w:r>
      <w:r>
        <w:rPr>
          <w:color w:val="000000" w:themeColor="text1"/>
        </w:rPr>
        <w:t xml:space="preserve">2020 </w:t>
      </w:r>
      <w:r w:rsidRPr="00A61D6B">
        <w:rPr>
          <w:color w:val="000000" w:themeColor="text1"/>
        </w:rPr>
        <w:t xml:space="preserve">si registrano solo alcune piccole variazioni rispetto al Rapporto precedente: 4 Province sono </w:t>
      </w:r>
      <w:r w:rsidRPr="00A61D6B">
        <w:rPr>
          <w:color w:val="000000" w:themeColor="text1"/>
        </w:rPr>
        <w:lastRenderedPageBreak/>
        <w:t xml:space="preserve">passate a una classe di diffusione più bassa (Ascoli Piceno e Livorno da </w:t>
      </w:r>
      <w:r>
        <w:rPr>
          <w:color w:val="000000" w:themeColor="text1"/>
        </w:rPr>
        <w:t>“</w:t>
      </w:r>
      <w:r w:rsidRPr="00A61D6B">
        <w:rPr>
          <w:color w:val="000000" w:themeColor="text1"/>
        </w:rPr>
        <w:t>media</w:t>
      </w:r>
      <w:r>
        <w:rPr>
          <w:color w:val="000000" w:themeColor="text1"/>
        </w:rPr>
        <w:t>”</w:t>
      </w:r>
      <w:r w:rsidRPr="00A61D6B">
        <w:rPr>
          <w:color w:val="000000" w:themeColor="text1"/>
        </w:rPr>
        <w:t xml:space="preserve"> a </w:t>
      </w:r>
      <w:r>
        <w:rPr>
          <w:color w:val="000000" w:themeColor="text1"/>
        </w:rPr>
        <w:t>“</w:t>
      </w:r>
      <w:r w:rsidRPr="00A61D6B">
        <w:rPr>
          <w:color w:val="000000" w:themeColor="text1"/>
        </w:rPr>
        <w:t>bassa</w:t>
      </w:r>
      <w:r>
        <w:rPr>
          <w:color w:val="000000" w:themeColor="text1"/>
        </w:rPr>
        <w:t>”</w:t>
      </w:r>
      <w:r w:rsidRPr="00A61D6B">
        <w:rPr>
          <w:color w:val="000000" w:themeColor="text1"/>
        </w:rPr>
        <w:t xml:space="preserve">, Treviso e Bologna da </w:t>
      </w:r>
      <w:r>
        <w:rPr>
          <w:color w:val="000000" w:themeColor="text1"/>
        </w:rPr>
        <w:t>“</w:t>
      </w:r>
      <w:r w:rsidRPr="00A61D6B">
        <w:rPr>
          <w:color w:val="000000" w:themeColor="text1"/>
        </w:rPr>
        <w:t>alta</w:t>
      </w:r>
      <w:r>
        <w:rPr>
          <w:color w:val="000000" w:themeColor="text1"/>
        </w:rPr>
        <w:t>”</w:t>
      </w:r>
      <w:r w:rsidRPr="00A61D6B">
        <w:rPr>
          <w:color w:val="000000" w:themeColor="text1"/>
        </w:rPr>
        <w:t xml:space="preserve"> a </w:t>
      </w:r>
      <w:r>
        <w:rPr>
          <w:color w:val="000000" w:themeColor="text1"/>
        </w:rPr>
        <w:t>“</w:t>
      </w:r>
      <w:r w:rsidRPr="00A61D6B">
        <w:rPr>
          <w:color w:val="000000" w:themeColor="text1"/>
        </w:rPr>
        <w:t>media</w:t>
      </w:r>
      <w:r>
        <w:rPr>
          <w:color w:val="000000" w:themeColor="text1"/>
        </w:rPr>
        <w:t>”</w:t>
      </w:r>
      <w:r w:rsidRPr="00A61D6B">
        <w:rPr>
          <w:color w:val="000000" w:themeColor="text1"/>
        </w:rPr>
        <w:t xml:space="preserve">), mentre 6 Province sono passate a una classificazione di diffusione più elevata (Brindisi e Chieti dalla classe </w:t>
      </w:r>
      <w:r>
        <w:rPr>
          <w:color w:val="000000" w:themeColor="text1"/>
        </w:rPr>
        <w:t>“</w:t>
      </w:r>
      <w:r w:rsidRPr="00A61D6B">
        <w:rPr>
          <w:color w:val="000000" w:themeColor="text1"/>
        </w:rPr>
        <w:t>bassa</w:t>
      </w:r>
      <w:r>
        <w:rPr>
          <w:color w:val="000000" w:themeColor="text1"/>
        </w:rPr>
        <w:t>”</w:t>
      </w:r>
      <w:r w:rsidRPr="00A61D6B">
        <w:rPr>
          <w:color w:val="000000" w:themeColor="text1"/>
        </w:rPr>
        <w:t xml:space="preserve"> a</w:t>
      </w:r>
      <w:r>
        <w:rPr>
          <w:color w:val="000000" w:themeColor="text1"/>
        </w:rPr>
        <w:t xml:space="preserve"> quella “</w:t>
      </w:r>
      <w:r w:rsidRPr="00A61D6B">
        <w:rPr>
          <w:color w:val="000000" w:themeColor="text1"/>
        </w:rPr>
        <w:t>media</w:t>
      </w:r>
      <w:r>
        <w:rPr>
          <w:color w:val="000000" w:themeColor="text1"/>
        </w:rPr>
        <w:t xml:space="preserve">”; </w:t>
      </w:r>
      <w:r w:rsidRPr="00A61D6B">
        <w:rPr>
          <w:color w:val="000000" w:themeColor="text1"/>
        </w:rPr>
        <w:t>Varese, La Spezia, Cuneo e Savona sono ora classificati nell</w:t>
      </w:r>
      <w:r>
        <w:rPr>
          <w:color w:val="000000" w:themeColor="text1"/>
        </w:rPr>
        <w:t>a classe “</w:t>
      </w:r>
      <w:r w:rsidRPr="00A61D6B">
        <w:rPr>
          <w:color w:val="000000" w:themeColor="text1"/>
        </w:rPr>
        <w:t>alta</w:t>
      </w:r>
      <w:r>
        <w:rPr>
          <w:color w:val="000000" w:themeColor="text1"/>
        </w:rPr>
        <w:t>”</w:t>
      </w:r>
      <w:r w:rsidRPr="00A61D6B">
        <w:rPr>
          <w:color w:val="000000" w:themeColor="text1"/>
        </w:rPr>
        <w:t>).</w:t>
      </w:r>
    </w:p>
    <w:p w14:paraId="5CBE9F83" w14:textId="46C886B5" w:rsidR="00A61D6B" w:rsidRDefault="00844488" w:rsidP="00844488">
      <w:pPr>
        <w:rPr>
          <w:color w:val="000000" w:themeColor="text1"/>
        </w:rPr>
      </w:pPr>
      <w:r w:rsidRPr="0021302F">
        <w:rPr>
          <w:color w:val="000000" w:themeColor="text1"/>
        </w:rPr>
        <w:t xml:space="preserve">Del totale dei casi </w:t>
      </w:r>
      <w:r w:rsidR="007A5629">
        <w:rPr>
          <w:color w:val="000000" w:themeColor="text1"/>
        </w:rPr>
        <w:t>diagnosticati entro il</w:t>
      </w:r>
      <w:r w:rsidRPr="0021302F">
        <w:rPr>
          <w:color w:val="000000" w:themeColor="text1"/>
        </w:rPr>
        <w:t xml:space="preserve"> 30 aprile 2020</w:t>
      </w:r>
      <w:r w:rsidRPr="00997B55">
        <w:rPr>
          <w:color w:val="000000" w:themeColor="text1"/>
        </w:rPr>
        <w:t>, il 53,3% (111.452) è di sesso femminile. La classe mediana di età è di 60-64 anni (</w:t>
      </w:r>
      <w:proofErr w:type="spellStart"/>
      <w:r w:rsidRPr="00997B55">
        <w:rPr>
          <w:color w:val="000000" w:themeColor="text1"/>
        </w:rPr>
        <w:t>range</w:t>
      </w:r>
      <w:proofErr w:type="spellEnd"/>
      <w:r w:rsidRPr="00997B55">
        <w:rPr>
          <w:color w:val="000000" w:themeColor="text1"/>
        </w:rPr>
        <w:t xml:space="preserve"> 0-100). Nelle fasce di età 0-14 anni e 55-74 anni si osserva un numero maggiore di casi positivi tra gli uomini rispetto alle donne. Nella fascia di età </w:t>
      </w:r>
      <w:r>
        <w:rPr>
          <w:color w:val="000000" w:themeColor="text1"/>
        </w:rPr>
        <w:t xml:space="preserve">superiore ai </w:t>
      </w:r>
      <w:r w:rsidRPr="00997B55">
        <w:rPr>
          <w:color w:val="000000" w:themeColor="text1"/>
        </w:rPr>
        <w:t>90 anni, le donne sono quasi l’80% in più degli uomini, anche in ragione della netta prevalenza femminile in questo segmento di popolazione. Appena l’1% dei casi segnalati riguarda soggetti di età inferiore ai 14 anni, il 27% riguarda individui nella classe di età 15-49 anni, il 46% nella classe di età 50-79, il 26% individui di età superiore o uguale agli 80 anni compiuti. Tale distribuzione per età rispecchia quella dell’insieme delle Province a diffusione alta, mentre in quelle a diffusione media e bassa si registra un minor numero di individui ultra 80enni positivi (23% nella fascia media, 14% nella fascia bassa).</w:t>
      </w:r>
    </w:p>
    <w:p w14:paraId="15E4B3A9" w14:textId="77777777" w:rsidR="00B23F60" w:rsidRPr="00A61D6B" w:rsidRDefault="00B23F60" w:rsidP="00844488">
      <w:pPr>
        <w:rPr>
          <w:color w:val="000000" w:themeColor="text1"/>
        </w:rPr>
      </w:pPr>
    </w:p>
    <w:p w14:paraId="79812DDE" w14:textId="7170370A" w:rsidR="00A61D6B" w:rsidRPr="00B91A90" w:rsidRDefault="00A61D6B" w:rsidP="00B91A90">
      <w:pPr>
        <w:pStyle w:val="Titolo2"/>
      </w:pPr>
      <w:r w:rsidRPr="00B91A90">
        <w:t xml:space="preserve">L’andamento dei decessi della </w:t>
      </w:r>
      <w:r w:rsidR="006C7341" w:rsidRPr="00B91A90">
        <w:t>S</w:t>
      </w:r>
      <w:r w:rsidRPr="00B91A90">
        <w:t xml:space="preserve">orveglianza </w:t>
      </w:r>
      <w:r w:rsidR="001B2338">
        <w:t>Nazionale i</w:t>
      </w:r>
      <w:r w:rsidRPr="00B91A90">
        <w:t xml:space="preserve">ntegrata Covid-19 </w:t>
      </w:r>
    </w:p>
    <w:p w14:paraId="6428EA21" w14:textId="78FC7776" w:rsidR="00844488" w:rsidRPr="00AD212A" w:rsidRDefault="00844488" w:rsidP="00844488">
      <w:pPr>
        <w:spacing w:line="240" w:lineRule="auto"/>
        <w:rPr>
          <w:color w:val="000000" w:themeColor="text1"/>
        </w:rPr>
      </w:pPr>
      <w:r w:rsidRPr="00A61D6B">
        <w:rPr>
          <w:color w:val="000000" w:themeColor="text1"/>
        </w:rPr>
        <w:t xml:space="preserve">La Sorveglianza </w:t>
      </w:r>
      <w:r w:rsidR="001B2338">
        <w:rPr>
          <w:color w:val="000000" w:themeColor="text1"/>
        </w:rPr>
        <w:t>i</w:t>
      </w:r>
      <w:r w:rsidRPr="00A61D6B">
        <w:rPr>
          <w:color w:val="000000" w:themeColor="text1"/>
        </w:rPr>
        <w:t>ntegrata ha registrato</w:t>
      </w:r>
      <w:r>
        <w:rPr>
          <w:color w:val="000000" w:themeColor="text1"/>
        </w:rPr>
        <w:t>,</w:t>
      </w:r>
      <w:r w:rsidRPr="00A61D6B">
        <w:rPr>
          <w:color w:val="000000" w:themeColor="text1"/>
        </w:rPr>
        <w:t xml:space="preserve"> dal 20 febbraio al 30 aprile</w:t>
      </w:r>
      <w:r>
        <w:rPr>
          <w:color w:val="000000" w:themeColor="text1"/>
        </w:rPr>
        <w:t xml:space="preserve"> 2020,</w:t>
      </w:r>
      <w:r w:rsidRPr="00A61D6B">
        <w:rPr>
          <w:color w:val="000000" w:themeColor="text1"/>
        </w:rPr>
        <w:t xml:space="preserve"> </w:t>
      </w:r>
      <w:r w:rsidRPr="00AD212A">
        <w:rPr>
          <w:b/>
          <w:bCs/>
          <w:color w:val="000000" w:themeColor="text1"/>
        </w:rPr>
        <w:t>28.561</w:t>
      </w:r>
      <w:r w:rsidRPr="007F3B89">
        <w:rPr>
          <w:color w:val="000000" w:themeColor="text1"/>
        </w:rPr>
        <w:t xml:space="preserve"> </w:t>
      </w:r>
      <w:r w:rsidRPr="00A61D6B">
        <w:rPr>
          <w:color w:val="000000" w:themeColor="text1"/>
        </w:rPr>
        <w:t>decessi in persone positive al Covid-19</w:t>
      </w:r>
      <w:r>
        <w:rPr>
          <w:color w:val="000000" w:themeColor="text1"/>
        </w:rPr>
        <w:t>; d</w:t>
      </w:r>
      <w:r w:rsidRPr="00A61D6B">
        <w:rPr>
          <w:color w:val="000000" w:themeColor="text1"/>
        </w:rPr>
        <w:t xml:space="preserve">i queste 15.114 </w:t>
      </w:r>
      <w:r>
        <w:rPr>
          <w:color w:val="000000" w:themeColor="text1"/>
        </w:rPr>
        <w:t xml:space="preserve">(53%) </w:t>
      </w:r>
      <w:r w:rsidRPr="00A61D6B">
        <w:rPr>
          <w:color w:val="000000" w:themeColor="text1"/>
        </w:rPr>
        <w:t>sono decedute entro il 31 marzo 2020</w:t>
      </w:r>
      <w:r>
        <w:rPr>
          <w:color w:val="000000" w:themeColor="text1"/>
        </w:rPr>
        <w:t xml:space="preserve"> e </w:t>
      </w:r>
      <w:r w:rsidRPr="00A61D6B">
        <w:rPr>
          <w:color w:val="000000" w:themeColor="text1"/>
        </w:rPr>
        <w:t>13.447</w:t>
      </w:r>
      <w:r>
        <w:rPr>
          <w:color w:val="000000" w:themeColor="text1"/>
        </w:rPr>
        <w:t xml:space="preserve"> (47%) nel mese di aprile. </w:t>
      </w:r>
      <w:r w:rsidRPr="00AD212A">
        <w:rPr>
          <w:color w:val="000000" w:themeColor="text1"/>
        </w:rPr>
        <w:t>Il continuo aggiornamento dei dati da parte delle Regioni ha permesso di recuperare</w:t>
      </w:r>
      <w:r>
        <w:rPr>
          <w:color w:val="000000" w:themeColor="text1"/>
        </w:rPr>
        <w:t>, rispetto al Rapporto precedente, ulteriori</w:t>
      </w:r>
      <w:r w:rsidRPr="00A61D6B">
        <w:rPr>
          <w:color w:val="000000" w:themeColor="text1"/>
        </w:rPr>
        <w:t xml:space="preserve"> 790 decessi (15.</w:t>
      </w:r>
      <w:r>
        <w:rPr>
          <w:color w:val="000000" w:themeColor="text1"/>
        </w:rPr>
        <w:t>114</w:t>
      </w:r>
      <w:r w:rsidRPr="00A61D6B">
        <w:rPr>
          <w:color w:val="000000" w:themeColor="text1"/>
        </w:rPr>
        <w:t xml:space="preserve"> rispetto ai 14.324)</w:t>
      </w:r>
      <w:r>
        <w:rPr>
          <w:color w:val="000000" w:themeColor="text1"/>
        </w:rPr>
        <w:t xml:space="preserve"> </w:t>
      </w:r>
      <w:r w:rsidRPr="00A61D6B">
        <w:rPr>
          <w:color w:val="000000" w:themeColor="text1"/>
        </w:rPr>
        <w:t>avvenuti nel mese di marzo</w:t>
      </w:r>
      <w:r>
        <w:rPr>
          <w:color w:val="000000" w:themeColor="text1"/>
        </w:rPr>
        <w:t xml:space="preserve"> ma comunicati successivamente alla data di aggiornamento del primo Rapporto </w:t>
      </w:r>
      <w:r w:rsidRPr="00A61D6B">
        <w:rPr>
          <w:color w:val="000000" w:themeColor="text1"/>
        </w:rPr>
        <w:t>(26 aprile 2020)</w:t>
      </w:r>
      <w:r>
        <w:rPr>
          <w:color w:val="000000" w:themeColor="text1"/>
        </w:rPr>
        <w:t>.</w:t>
      </w:r>
    </w:p>
    <w:p w14:paraId="10AAE3DC" w14:textId="01CD0F13" w:rsidR="00844488" w:rsidRDefault="00844488" w:rsidP="00844488">
      <w:pPr>
        <w:spacing w:line="240" w:lineRule="auto"/>
        <w:rPr>
          <w:color w:val="000000" w:themeColor="text1"/>
        </w:rPr>
      </w:pPr>
      <w:r>
        <w:rPr>
          <w:color w:val="000000" w:themeColor="text1"/>
        </w:rPr>
        <w:t>L’andamento dei d</w:t>
      </w:r>
      <w:r w:rsidRPr="00A61D6B">
        <w:rPr>
          <w:color w:val="000000" w:themeColor="text1"/>
        </w:rPr>
        <w:t>ec</w:t>
      </w:r>
      <w:r>
        <w:rPr>
          <w:color w:val="000000" w:themeColor="text1"/>
        </w:rPr>
        <w:t>essi riflette sostanzialmente quello</w:t>
      </w:r>
      <w:r w:rsidRPr="00A61D6B">
        <w:rPr>
          <w:color w:val="000000" w:themeColor="text1"/>
        </w:rPr>
        <w:t xml:space="preserve"> dei casi</w:t>
      </w:r>
      <w:r>
        <w:rPr>
          <w:color w:val="000000" w:themeColor="text1"/>
        </w:rPr>
        <w:t xml:space="preserve"> segnalati</w:t>
      </w:r>
      <w:r w:rsidRPr="00A61D6B">
        <w:rPr>
          <w:color w:val="000000" w:themeColor="text1"/>
        </w:rPr>
        <w:t xml:space="preserve"> </w:t>
      </w:r>
      <w:r>
        <w:rPr>
          <w:color w:val="000000" w:themeColor="text1"/>
        </w:rPr>
        <w:t>(</w:t>
      </w:r>
      <w:r w:rsidRPr="00A61D6B">
        <w:rPr>
          <w:color w:val="000000" w:themeColor="text1"/>
        </w:rPr>
        <w:t>Figura 1</w:t>
      </w:r>
      <w:r>
        <w:rPr>
          <w:color w:val="000000" w:themeColor="text1"/>
        </w:rPr>
        <w:t xml:space="preserve">), ma </w:t>
      </w:r>
      <w:r w:rsidRPr="00A61D6B">
        <w:rPr>
          <w:color w:val="000000" w:themeColor="text1"/>
        </w:rPr>
        <w:t>le</w:t>
      </w:r>
      <w:r>
        <w:rPr>
          <w:color w:val="000000" w:themeColor="text1"/>
        </w:rPr>
        <w:t>ggermente posticipato nel tempo. I</w:t>
      </w:r>
      <w:r w:rsidRPr="00A61D6B">
        <w:rPr>
          <w:color w:val="000000" w:themeColor="text1"/>
        </w:rPr>
        <w:t xml:space="preserve">l più alto </w:t>
      </w:r>
      <w:r>
        <w:rPr>
          <w:color w:val="000000" w:themeColor="text1"/>
        </w:rPr>
        <w:t xml:space="preserve">numero </w:t>
      </w:r>
      <w:r w:rsidRPr="00A61D6B">
        <w:rPr>
          <w:color w:val="000000" w:themeColor="text1"/>
        </w:rPr>
        <w:t>di decessi viene osservato</w:t>
      </w:r>
      <w:r>
        <w:rPr>
          <w:color w:val="000000" w:themeColor="text1"/>
        </w:rPr>
        <w:t xml:space="preserve"> il </w:t>
      </w:r>
      <w:r w:rsidRPr="00A61D6B">
        <w:rPr>
          <w:color w:val="000000" w:themeColor="text1"/>
        </w:rPr>
        <w:t>28</w:t>
      </w:r>
      <w:r>
        <w:rPr>
          <w:color w:val="000000" w:themeColor="text1"/>
        </w:rPr>
        <w:t xml:space="preserve"> marzo </w:t>
      </w:r>
      <w:r w:rsidRPr="00A61D6B">
        <w:rPr>
          <w:color w:val="000000" w:themeColor="text1"/>
        </w:rPr>
        <w:t>2</w:t>
      </w:r>
      <w:r>
        <w:rPr>
          <w:color w:val="000000" w:themeColor="text1"/>
        </w:rPr>
        <w:t>020</w:t>
      </w:r>
      <w:r w:rsidRPr="00A61D6B">
        <w:rPr>
          <w:color w:val="000000" w:themeColor="text1"/>
        </w:rPr>
        <w:t xml:space="preserve"> a una settimana di distanza dal picco dei casi segnalati,</w:t>
      </w:r>
      <w:r>
        <w:rPr>
          <w:color w:val="000000" w:themeColor="text1"/>
        </w:rPr>
        <w:t xml:space="preserve"> con 897 decessi di cui 741 (83%) segnalati </w:t>
      </w:r>
      <w:r w:rsidRPr="00A61D6B">
        <w:rPr>
          <w:color w:val="000000" w:themeColor="text1"/>
        </w:rPr>
        <w:t xml:space="preserve">nelle Province ad </w:t>
      </w:r>
      <w:r>
        <w:rPr>
          <w:color w:val="000000" w:themeColor="text1"/>
        </w:rPr>
        <w:t>“</w:t>
      </w:r>
      <w:r w:rsidRPr="00A61D6B">
        <w:rPr>
          <w:color w:val="000000" w:themeColor="text1"/>
        </w:rPr>
        <w:t>alta</w:t>
      </w:r>
      <w:r>
        <w:rPr>
          <w:color w:val="000000" w:themeColor="text1"/>
        </w:rPr>
        <w:t>”</w:t>
      </w:r>
      <w:r w:rsidRPr="00A61D6B">
        <w:rPr>
          <w:color w:val="000000" w:themeColor="text1"/>
        </w:rPr>
        <w:t xml:space="preserve"> diffusione, 114</w:t>
      </w:r>
      <w:r>
        <w:rPr>
          <w:color w:val="000000" w:themeColor="text1"/>
        </w:rPr>
        <w:t xml:space="preserve"> (</w:t>
      </w:r>
      <w:r w:rsidRPr="00A61D6B">
        <w:rPr>
          <w:color w:val="000000" w:themeColor="text1"/>
        </w:rPr>
        <w:t>13%</w:t>
      </w:r>
      <w:r>
        <w:rPr>
          <w:color w:val="000000" w:themeColor="text1"/>
        </w:rPr>
        <w:t>)</w:t>
      </w:r>
      <w:r w:rsidRPr="00A61D6B">
        <w:rPr>
          <w:color w:val="000000" w:themeColor="text1"/>
        </w:rPr>
        <w:t xml:space="preserve"> nelle Province a </w:t>
      </w:r>
      <w:r>
        <w:rPr>
          <w:color w:val="000000" w:themeColor="text1"/>
        </w:rPr>
        <w:t>“</w:t>
      </w:r>
      <w:r w:rsidRPr="00A61D6B">
        <w:rPr>
          <w:color w:val="000000" w:themeColor="text1"/>
        </w:rPr>
        <w:t>media</w:t>
      </w:r>
      <w:r>
        <w:rPr>
          <w:color w:val="000000" w:themeColor="text1"/>
        </w:rPr>
        <w:t>”</w:t>
      </w:r>
      <w:r w:rsidRPr="00A61D6B">
        <w:rPr>
          <w:color w:val="000000" w:themeColor="text1"/>
        </w:rPr>
        <w:t xml:space="preserve"> diffusione e 42</w:t>
      </w:r>
      <w:r>
        <w:rPr>
          <w:color w:val="000000" w:themeColor="text1"/>
        </w:rPr>
        <w:t xml:space="preserve"> (</w:t>
      </w:r>
      <w:r w:rsidRPr="00A61D6B">
        <w:rPr>
          <w:color w:val="000000" w:themeColor="text1"/>
        </w:rPr>
        <w:t>4%</w:t>
      </w:r>
      <w:r>
        <w:rPr>
          <w:color w:val="000000" w:themeColor="text1"/>
        </w:rPr>
        <w:t>)</w:t>
      </w:r>
      <w:r w:rsidRPr="00A61D6B">
        <w:rPr>
          <w:color w:val="000000" w:themeColor="text1"/>
        </w:rPr>
        <w:t xml:space="preserve"> nelle Province a </w:t>
      </w:r>
      <w:r>
        <w:rPr>
          <w:color w:val="000000" w:themeColor="text1"/>
        </w:rPr>
        <w:t>“</w:t>
      </w:r>
      <w:r w:rsidRPr="00A61D6B">
        <w:rPr>
          <w:color w:val="000000" w:themeColor="text1"/>
        </w:rPr>
        <w:t>bassa</w:t>
      </w:r>
      <w:r>
        <w:rPr>
          <w:color w:val="000000" w:themeColor="text1"/>
        </w:rPr>
        <w:t>”</w:t>
      </w:r>
      <w:r w:rsidRPr="00A61D6B">
        <w:rPr>
          <w:color w:val="000000" w:themeColor="text1"/>
        </w:rPr>
        <w:t xml:space="preserve"> diffusione</w:t>
      </w:r>
      <w:r>
        <w:rPr>
          <w:color w:val="000000" w:themeColor="text1"/>
        </w:rPr>
        <w:t xml:space="preserve"> </w:t>
      </w:r>
      <w:r w:rsidRPr="00A61D6B">
        <w:rPr>
          <w:color w:val="000000" w:themeColor="text1"/>
        </w:rPr>
        <w:t>(Figura 2).</w:t>
      </w:r>
    </w:p>
    <w:p w14:paraId="32C7F39E" w14:textId="77777777" w:rsidR="00B23F60" w:rsidRPr="00A61D6B" w:rsidRDefault="00B23F60" w:rsidP="00844488">
      <w:pPr>
        <w:spacing w:line="240" w:lineRule="auto"/>
        <w:rPr>
          <w:color w:val="000000" w:themeColor="text1"/>
        </w:rPr>
      </w:pPr>
    </w:p>
    <w:p w14:paraId="0789A38D" w14:textId="06F429AB" w:rsidR="00A61D6B" w:rsidRPr="006C3FBA" w:rsidRDefault="00844488" w:rsidP="00844488">
      <w:pPr>
        <w:rPr>
          <w:color w:val="1F3864" w:themeColor="accent5" w:themeShade="80"/>
        </w:rPr>
      </w:pPr>
      <w:r w:rsidRPr="008C18E8">
        <w:rPr>
          <w:b/>
          <w:bCs/>
          <w:color w:val="1F3864" w:themeColor="accent5" w:themeShade="80"/>
          <w:sz w:val="20"/>
          <w:szCs w:val="20"/>
        </w:rPr>
        <w:t>Figura 2. Andamento giornaliero dei decessi segnalati al Sistema di Sorveglianza Integrata Covid-19, per aree di diffusione dell’epidemia</w:t>
      </w:r>
      <w:r w:rsidRPr="006C3FBA">
        <w:rPr>
          <w:color w:val="1F3864" w:themeColor="accent5" w:themeShade="80"/>
          <w:sz w:val="20"/>
          <w:szCs w:val="20"/>
        </w:rPr>
        <w:t>. Periodo 29 gennaio-30 aprile 2020.</w:t>
      </w:r>
    </w:p>
    <w:p w14:paraId="7D625230" w14:textId="197A4D80" w:rsidR="00B43210" w:rsidRDefault="002B1AC0" w:rsidP="00A61D6B">
      <w:pPr>
        <w:rPr>
          <w:b/>
          <w:bCs/>
          <w:color w:val="000000" w:themeColor="text1"/>
        </w:rPr>
      </w:pPr>
      <w:r>
        <w:rPr>
          <w:b/>
          <w:bCs/>
          <w:noProof/>
          <w:color w:val="000000" w:themeColor="text1"/>
          <w:lang w:eastAsia="it-IT"/>
        </w:rPr>
        <w:drawing>
          <wp:inline distT="0" distB="0" distL="0" distR="0" wp14:anchorId="5F4ED4C7" wp14:editId="143B5D46">
            <wp:extent cx="6116921" cy="2189480"/>
            <wp:effectExtent l="0" t="0" r="0" b="127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6345" cy="2203591"/>
                    </a:xfrm>
                    <a:prstGeom prst="rect">
                      <a:avLst/>
                    </a:prstGeom>
                    <a:noFill/>
                  </pic:spPr>
                </pic:pic>
              </a:graphicData>
            </a:graphic>
          </wp:inline>
        </w:drawing>
      </w:r>
    </w:p>
    <w:p w14:paraId="6B8F42D3" w14:textId="1283E874" w:rsidR="00A61D6B" w:rsidRPr="00844488" w:rsidRDefault="00A61D6B" w:rsidP="00A61D6B">
      <w:pPr>
        <w:rPr>
          <w:i/>
          <w:iCs w:val="0"/>
          <w:color w:val="000000" w:themeColor="text1"/>
          <w:sz w:val="16"/>
          <w:szCs w:val="16"/>
        </w:rPr>
      </w:pPr>
      <w:r w:rsidRPr="00844488">
        <w:rPr>
          <w:i/>
          <w:iCs w:val="0"/>
          <w:color w:val="000000" w:themeColor="text1"/>
          <w:sz w:val="16"/>
          <w:szCs w:val="16"/>
        </w:rPr>
        <w:t xml:space="preserve">Fonte: </w:t>
      </w:r>
      <w:proofErr w:type="spellStart"/>
      <w:r w:rsidRPr="00844488">
        <w:rPr>
          <w:i/>
          <w:iCs w:val="0"/>
          <w:color w:val="000000" w:themeColor="text1"/>
          <w:sz w:val="16"/>
          <w:szCs w:val="16"/>
        </w:rPr>
        <w:t>Iss</w:t>
      </w:r>
      <w:proofErr w:type="spellEnd"/>
      <w:r w:rsidRPr="00844488">
        <w:rPr>
          <w:i/>
          <w:iCs w:val="0"/>
          <w:color w:val="000000" w:themeColor="text1"/>
          <w:sz w:val="16"/>
          <w:szCs w:val="16"/>
        </w:rPr>
        <w:t xml:space="preserve">, Sistema di </w:t>
      </w:r>
      <w:r w:rsidR="006C7341" w:rsidRPr="00844488">
        <w:rPr>
          <w:i/>
          <w:iCs w:val="0"/>
          <w:color w:val="000000" w:themeColor="text1"/>
          <w:sz w:val="16"/>
          <w:szCs w:val="16"/>
        </w:rPr>
        <w:t>S</w:t>
      </w:r>
      <w:r w:rsidRPr="00844488">
        <w:rPr>
          <w:i/>
          <w:iCs w:val="0"/>
          <w:color w:val="000000" w:themeColor="text1"/>
          <w:sz w:val="16"/>
          <w:szCs w:val="16"/>
        </w:rPr>
        <w:t>orveglianza integrata Covid-19</w:t>
      </w:r>
      <w:r w:rsidR="00A733C7" w:rsidRPr="00844488">
        <w:rPr>
          <w:i/>
          <w:iCs w:val="0"/>
          <w:color w:val="000000" w:themeColor="text1"/>
          <w:sz w:val="16"/>
          <w:szCs w:val="16"/>
        </w:rPr>
        <w:t>, (aggiornamento 25 maggio 2020)</w:t>
      </w:r>
    </w:p>
    <w:p w14:paraId="30B659E7" w14:textId="77777777" w:rsidR="00975A81" w:rsidRDefault="00975A81" w:rsidP="00A61D6B">
      <w:pPr>
        <w:rPr>
          <w:color w:val="000000" w:themeColor="text1"/>
        </w:rPr>
      </w:pPr>
    </w:p>
    <w:p w14:paraId="686DED3B" w14:textId="77777777" w:rsidR="003C1302" w:rsidRDefault="003C1302" w:rsidP="00844488">
      <w:pPr>
        <w:spacing w:after="120" w:line="240" w:lineRule="auto"/>
        <w:rPr>
          <w:color w:val="000000" w:themeColor="text1"/>
        </w:rPr>
      </w:pPr>
    </w:p>
    <w:p w14:paraId="5C32F13C" w14:textId="77777777" w:rsidR="003C1302" w:rsidRDefault="003C1302" w:rsidP="00844488">
      <w:pPr>
        <w:spacing w:after="120" w:line="240" w:lineRule="auto"/>
        <w:rPr>
          <w:color w:val="000000" w:themeColor="text1"/>
        </w:rPr>
      </w:pPr>
    </w:p>
    <w:p w14:paraId="731595A5" w14:textId="587FD083" w:rsidR="00844488" w:rsidRPr="00D44166" w:rsidRDefault="00844488" w:rsidP="00844488">
      <w:pPr>
        <w:spacing w:after="120" w:line="240" w:lineRule="auto"/>
        <w:rPr>
          <w:rFonts w:eastAsia="Times New Roman"/>
          <w:iCs w:val="0"/>
          <w:color w:val="000000"/>
          <w:sz w:val="18"/>
          <w:szCs w:val="18"/>
          <w:lang w:eastAsia="it-IT"/>
        </w:rPr>
      </w:pPr>
      <w:r>
        <w:rPr>
          <w:color w:val="000000" w:themeColor="text1"/>
        </w:rPr>
        <w:t xml:space="preserve">Dei 28.561 </w:t>
      </w:r>
      <w:r w:rsidRPr="00A61D6B">
        <w:rPr>
          <w:color w:val="000000" w:themeColor="text1"/>
        </w:rPr>
        <w:t xml:space="preserve">decessi </w:t>
      </w:r>
      <w:r>
        <w:rPr>
          <w:color w:val="000000" w:themeColor="text1"/>
        </w:rPr>
        <w:t xml:space="preserve">Covid-19 totali, nel presente </w:t>
      </w:r>
      <w:r w:rsidRPr="00A61D6B">
        <w:rPr>
          <w:color w:val="000000" w:themeColor="text1"/>
        </w:rPr>
        <w:t xml:space="preserve">Rapporto </w:t>
      </w:r>
      <w:r>
        <w:rPr>
          <w:color w:val="000000" w:themeColor="text1"/>
        </w:rPr>
        <w:t xml:space="preserve">ne sono stati considerati </w:t>
      </w:r>
      <w:r w:rsidRPr="00392BAE">
        <w:rPr>
          <w:color w:val="000000" w:themeColor="text1"/>
        </w:rPr>
        <w:t>27.846</w:t>
      </w:r>
      <w:r w:rsidRPr="00A61D6B">
        <w:rPr>
          <w:color w:val="000000" w:themeColor="text1"/>
        </w:rPr>
        <w:t xml:space="preserve"> (97</w:t>
      </w:r>
      <w:r w:rsidRPr="0021302F">
        <w:rPr>
          <w:color w:val="000000" w:themeColor="text1"/>
        </w:rPr>
        <w:t>%</w:t>
      </w:r>
      <w:r w:rsidRPr="00975A81">
        <w:rPr>
          <w:color w:val="000000" w:themeColor="text1"/>
        </w:rPr>
        <w:t xml:space="preserve">). </w:t>
      </w:r>
      <w:r w:rsidRPr="00F925C8">
        <w:rPr>
          <w:rFonts w:eastAsia="Times New Roman"/>
          <w:iCs w:val="0"/>
          <w:color w:val="000000"/>
          <w:lang w:eastAsia="it-IT"/>
        </w:rPr>
        <w:t xml:space="preserve">In alcuni casi di Covid-19 deceduti segnalati nella Sorveglianza Integrata, infatti, non </w:t>
      </w:r>
      <w:r w:rsidR="0053276B">
        <w:rPr>
          <w:rFonts w:eastAsia="Times New Roman"/>
          <w:iCs w:val="0"/>
          <w:color w:val="000000"/>
          <w:lang w:eastAsia="it-IT"/>
        </w:rPr>
        <w:t>era</w:t>
      </w:r>
      <w:r w:rsidRPr="00F925C8">
        <w:rPr>
          <w:rFonts w:eastAsia="Times New Roman"/>
          <w:iCs w:val="0"/>
          <w:color w:val="000000"/>
          <w:lang w:eastAsia="it-IT"/>
        </w:rPr>
        <w:t xml:space="preserve"> riportato il Comune di residenza</w:t>
      </w:r>
      <w:r>
        <w:rPr>
          <w:rFonts w:eastAsia="Times New Roman"/>
          <w:iCs w:val="0"/>
          <w:color w:val="000000"/>
          <w:lang w:eastAsia="it-IT"/>
        </w:rPr>
        <w:t xml:space="preserve"> (in 125 decessi)</w:t>
      </w:r>
      <w:r w:rsidRPr="00F925C8">
        <w:rPr>
          <w:rFonts w:eastAsia="Times New Roman"/>
          <w:iCs w:val="0"/>
          <w:color w:val="000000"/>
          <w:lang w:eastAsia="it-IT"/>
        </w:rPr>
        <w:t>. Sono stati esclusi, inoltre, alcuni casi di Covid-19 deceduti e residenti in Comuni diversi dai 7.270 resi disponibili dall’Istat</w:t>
      </w:r>
      <w:r>
        <w:rPr>
          <w:rFonts w:eastAsia="Times New Roman"/>
          <w:iCs w:val="0"/>
          <w:color w:val="000000"/>
          <w:lang w:eastAsia="it-IT"/>
        </w:rPr>
        <w:t xml:space="preserve"> (560 decessi)</w:t>
      </w:r>
      <w:r w:rsidRPr="00F925C8">
        <w:rPr>
          <w:rFonts w:eastAsia="Times New Roman"/>
          <w:iCs w:val="0"/>
          <w:color w:val="000000"/>
          <w:lang w:eastAsia="it-IT"/>
        </w:rPr>
        <w:t>.</w:t>
      </w:r>
    </w:p>
    <w:p w14:paraId="2996D334" w14:textId="77777777" w:rsidR="00B23F60" w:rsidRDefault="00B23F60" w:rsidP="00844488">
      <w:pPr>
        <w:spacing w:after="120"/>
        <w:rPr>
          <w:color w:val="000000" w:themeColor="text1"/>
        </w:rPr>
      </w:pPr>
    </w:p>
    <w:p w14:paraId="1E1ABD8D" w14:textId="3BD9B238" w:rsidR="00844488" w:rsidRPr="00A61D6B" w:rsidRDefault="00844488" w:rsidP="00844488">
      <w:pPr>
        <w:spacing w:after="120"/>
        <w:rPr>
          <w:color w:val="000000" w:themeColor="text1"/>
        </w:rPr>
      </w:pPr>
      <w:r w:rsidRPr="00A61D6B">
        <w:rPr>
          <w:color w:val="000000" w:themeColor="text1"/>
        </w:rPr>
        <w:t>La maggioranza dei decessi si registra nelle Province def</w:t>
      </w:r>
      <w:r>
        <w:rPr>
          <w:color w:val="000000" w:themeColor="text1"/>
        </w:rPr>
        <w:t xml:space="preserve">inite a diffusione “alta” (82%); </w:t>
      </w:r>
      <w:r w:rsidRPr="00A61D6B">
        <w:rPr>
          <w:color w:val="000000" w:themeColor="text1"/>
        </w:rPr>
        <w:t xml:space="preserve">nelle aree a diffusione </w:t>
      </w:r>
      <w:r>
        <w:rPr>
          <w:color w:val="000000" w:themeColor="text1"/>
        </w:rPr>
        <w:t>“</w:t>
      </w:r>
      <w:r w:rsidRPr="00A61D6B">
        <w:rPr>
          <w:color w:val="000000" w:themeColor="text1"/>
        </w:rPr>
        <w:t>media</w:t>
      </w:r>
      <w:r>
        <w:rPr>
          <w:color w:val="000000" w:themeColor="text1"/>
        </w:rPr>
        <w:t>”</w:t>
      </w:r>
      <w:r w:rsidRPr="00A61D6B">
        <w:rPr>
          <w:color w:val="000000" w:themeColor="text1"/>
        </w:rPr>
        <w:t xml:space="preserve"> sono stati </w:t>
      </w:r>
      <w:r>
        <w:rPr>
          <w:color w:val="000000" w:themeColor="text1"/>
        </w:rPr>
        <w:t>riportati il 13% dei morti e il</w:t>
      </w:r>
      <w:r w:rsidRPr="00A61D6B">
        <w:rPr>
          <w:color w:val="000000" w:themeColor="text1"/>
        </w:rPr>
        <w:t xml:space="preserve"> 5% in quelle a diffusione </w:t>
      </w:r>
      <w:r>
        <w:rPr>
          <w:color w:val="000000" w:themeColor="text1"/>
        </w:rPr>
        <w:t>“</w:t>
      </w:r>
      <w:r w:rsidRPr="00A61D6B">
        <w:rPr>
          <w:color w:val="000000" w:themeColor="text1"/>
        </w:rPr>
        <w:t>bassa</w:t>
      </w:r>
      <w:r>
        <w:rPr>
          <w:color w:val="000000" w:themeColor="text1"/>
        </w:rPr>
        <w:t>”</w:t>
      </w:r>
      <w:r w:rsidRPr="00A61D6B">
        <w:rPr>
          <w:color w:val="000000" w:themeColor="text1"/>
        </w:rPr>
        <w:t xml:space="preserve">. </w:t>
      </w:r>
    </w:p>
    <w:p w14:paraId="02E67F33" w14:textId="77777777" w:rsidR="00844488" w:rsidRPr="00A61D6B" w:rsidRDefault="00844488" w:rsidP="00844488">
      <w:pPr>
        <w:spacing w:after="120"/>
        <w:rPr>
          <w:color w:val="000000" w:themeColor="text1"/>
        </w:rPr>
      </w:pPr>
      <w:r>
        <w:rPr>
          <w:color w:val="000000" w:themeColor="text1"/>
        </w:rPr>
        <w:t>I</w:t>
      </w:r>
      <w:r w:rsidRPr="00A61D6B">
        <w:rPr>
          <w:color w:val="000000" w:themeColor="text1"/>
        </w:rPr>
        <w:t>l 39% de</w:t>
      </w:r>
      <w:r>
        <w:rPr>
          <w:color w:val="000000" w:themeColor="text1"/>
        </w:rPr>
        <w:t>l totale de</w:t>
      </w:r>
      <w:r w:rsidRPr="00A61D6B">
        <w:rPr>
          <w:color w:val="000000" w:themeColor="text1"/>
        </w:rPr>
        <w:t xml:space="preserve">i decessi </w:t>
      </w:r>
      <w:r>
        <w:rPr>
          <w:color w:val="000000" w:themeColor="text1"/>
        </w:rPr>
        <w:t>Covid-19 riguarda le donne</w:t>
      </w:r>
      <w:r w:rsidRPr="00A61D6B">
        <w:rPr>
          <w:color w:val="000000" w:themeColor="text1"/>
        </w:rPr>
        <w:t xml:space="preserve">, questa proporzione </w:t>
      </w:r>
      <w:r>
        <w:rPr>
          <w:color w:val="000000" w:themeColor="text1"/>
        </w:rPr>
        <w:t xml:space="preserve">è </w:t>
      </w:r>
      <w:r w:rsidRPr="00A61D6B">
        <w:rPr>
          <w:color w:val="000000" w:themeColor="text1"/>
        </w:rPr>
        <w:t xml:space="preserve">leggermente </w:t>
      </w:r>
      <w:r>
        <w:rPr>
          <w:color w:val="000000" w:themeColor="text1"/>
        </w:rPr>
        <w:t xml:space="preserve">più alta nella classe a </w:t>
      </w:r>
      <w:r w:rsidRPr="00A61D6B">
        <w:rPr>
          <w:color w:val="000000" w:themeColor="text1"/>
        </w:rPr>
        <w:t xml:space="preserve">diffusione media </w:t>
      </w:r>
      <w:r>
        <w:rPr>
          <w:color w:val="000000" w:themeColor="text1"/>
        </w:rPr>
        <w:t>(43%</w:t>
      </w:r>
      <w:r w:rsidRPr="00A61D6B">
        <w:rPr>
          <w:color w:val="000000" w:themeColor="text1"/>
        </w:rPr>
        <w:t>).</w:t>
      </w:r>
    </w:p>
    <w:p w14:paraId="4F330AC7" w14:textId="087FDB63" w:rsidR="0053276B" w:rsidRDefault="0053276B" w:rsidP="00844488">
      <w:pPr>
        <w:spacing w:after="120" w:line="240" w:lineRule="auto"/>
        <w:rPr>
          <w:color w:val="000000" w:themeColor="text1"/>
        </w:rPr>
      </w:pPr>
      <w:r>
        <w:rPr>
          <w:color w:val="000000" w:themeColor="text1"/>
        </w:rPr>
        <w:t>Rispetto alla mortalità per il complesso delle cause, i</w:t>
      </w:r>
      <w:r w:rsidRPr="00A61D6B">
        <w:rPr>
          <w:color w:val="000000" w:themeColor="text1"/>
        </w:rPr>
        <w:t xml:space="preserve"> decessi Covid-19 riportati alla </w:t>
      </w:r>
      <w:r>
        <w:rPr>
          <w:color w:val="000000" w:themeColor="text1"/>
        </w:rPr>
        <w:t>S</w:t>
      </w:r>
      <w:r w:rsidRPr="00A61D6B">
        <w:rPr>
          <w:color w:val="000000" w:themeColor="text1"/>
        </w:rPr>
        <w:t xml:space="preserve">orveglianza </w:t>
      </w:r>
      <w:r w:rsidR="001B2338">
        <w:rPr>
          <w:color w:val="000000" w:themeColor="text1"/>
        </w:rPr>
        <w:t>i</w:t>
      </w:r>
      <w:r w:rsidRPr="00A61D6B">
        <w:rPr>
          <w:color w:val="000000" w:themeColor="text1"/>
        </w:rPr>
        <w:t>ntegrata risultano pari al</w:t>
      </w:r>
      <w:r>
        <w:rPr>
          <w:color w:val="000000" w:themeColor="text1"/>
        </w:rPr>
        <w:t>l’</w:t>
      </w:r>
      <w:r w:rsidRPr="00A61D6B">
        <w:rPr>
          <w:color w:val="000000" w:themeColor="text1"/>
        </w:rPr>
        <w:t xml:space="preserve">11% dei </w:t>
      </w:r>
      <w:r>
        <w:rPr>
          <w:color w:val="000000" w:themeColor="text1"/>
        </w:rPr>
        <w:t xml:space="preserve">decessi </w:t>
      </w:r>
      <w:r w:rsidRPr="00A61D6B">
        <w:rPr>
          <w:color w:val="000000" w:themeColor="text1"/>
        </w:rPr>
        <w:t xml:space="preserve">totali </w:t>
      </w:r>
      <w:r>
        <w:rPr>
          <w:color w:val="000000" w:themeColor="text1"/>
        </w:rPr>
        <w:t>n</w:t>
      </w:r>
      <w:r w:rsidRPr="00A61D6B">
        <w:rPr>
          <w:color w:val="000000" w:themeColor="text1"/>
        </w:rPr>
        <w:t>el periodo dal 20 febbraio al 30 aprile 2020</w:t>
      </w:r>
      <w:r>
        <w:rPr>
          <w:color w:val="000000" w:themeColor="text1"/>
        </w:rPr>
        <w:t>. S</w:t>
      </w:r>
      <w:r w:rsidRPr="00A61D6B">
        <w:rPr>
          <w:color w:val="000000" w:themeColor="text1"/>
        </w:rPr>
        <w:t xml:space="preserve">e si considerano le tre </w:t>
      </w:r>
      <w:r>
        <w:rPr>
          <w:color w:val="000000" w:themeColor="text1"/>
        </w:rPr>
        <w:t xml:space="preserve">aree </w:t>
      </w:r>
      <w:r w:rsidRPr="00A61D6B">
        <w:rPr>
          <w:color w:val="000000" w:themeColor="text1"/>
        </w:rPr>
        <w:t xml:space="preserve">di diffusione essi sono </w:t>
      </w:r>
      <w:r>
        <w:rPr>
          <w:color w:val="000000" w:themeColor="text1"/>
        </w:rPr>
        <w:t xml:space="preserve">in media </w:t>
      </w:r>
      <w:r w:rsidRPr="00A61D6B">
        <w:rPr>
          <w:color w:val="000000" w:themeColor="text1"/>
        </w:rPr>
        <w:t xml:space="preserve">il 19% del totale dei decessi nelle </w:t>
      </w:r>
      <w:r>
        <w:rPr>
          <w:color w:val="000000" w:themeColor="text1"/>
        </w:rPr>
        <w:t>p</w:t>
      </w:r>
      <w:r w:rsidRPr="00A61D6B">
        <w:rPr>
          <w:color w:val="000000" w:themeColor="text1"/>
        </w:rPr>
        <w:t>rovince a d</w:t>
      </w:r>
      <w:r>
        <w:rPr>
          <w:color w:val="000000" w:themeColor="text1"/>
        </w:rPr>
        <w:t xml:space="preserve">iffusione “alta”, il 6% </w:t>
      </w:r>
      <w:r w:rsidRPr="00A61D6B">
        <w:rPr>
          <w:color w:val="000000" w:themeColor="text1"/>
        </w:rPr>
        <w:t xml:space="preserve">nelle </w:t>
      </w:r>
      <w:r>
        <w:rPr>
          <w:color w:val="000000" w:themeColor="text1"/>
        </w:rPr>
        <w:t>p</w:t>
      </w:r>
      <w:r w:rsidRPr="00A61D6B">
        <w:rPr>
          <w:color w:val="000000" w:themeColor="text1"/>
        </w:rPr>
        <w:t xml:space="preserve">rovince a diffusione </w:t>
      </w:r>
      <w:r>
        <w:rPr>
          <w:color w:val="000000" w:themeColor="text1"/>
        </w:rPr>
        <w:t>“</w:t>
      </w:r>
      <w:r w:rsidRPr="00A61D6B">
        <w:rPr>
          <w:color w:val="000000" w:themeColor="text1"/>
        </w:rPr>
        <w:t>media</w:t>
      </w:r>
      <w:r>
        <w:rPr>
          <w:color w:val="000000" w:themeColor="text1"/>
        </w:rPr>
        <w:t>”</w:t>
      </w:r>
      <w:r w:rsidRPr="00A61D6B">
        <w:rPr>
          <w:color w:val="000000" w:themeColor="text1"/>
        </w:rPr>
        <w:t xml:space="preserve"> e il 2% in quelle a diffusione </w:t>
      </w:r>
      <w:r>
        <w:rPr>
          <w:color w:val="000000" w:themeColor="text1"/>
        </w:rPr>
        <w:t>“</w:t>
      </w:r>
      <w:r w:rsidRPr="00A61D6B">
        <w:rPr>
          <w:color w:val="000000" w:themeColor="text1"/>
        </w:rPr>
        <w:t>bassa</w:t>
      </w:r>
      <w:r>
        <w:rPr>
          <w:color w:val="000000" w:themeColor="text1"/>
        </w:rPr>
        <w:t>”</w:t>
      </w:r>
      <w:r w:rsidRPr="00A61D6B">
        <w:rPr>
          <w:color w:val="000000" w:themeColor="text1"/>
        </w:rPr>
        <w:t xml:space="preserve"> (Tabella</w:t>
      </w:r>
      <w:r>
        <w:rPr>
          <w:color w:val="000000" w:themeColor="text1"/>
        </w:rPr>
        <w:t xml:space="preserve"> 2</w:t>
      </w:r>
      <w:r w:rsidRPr="00A61D6B">
        <w:rPr>
          <w:color w:val="000000" w:themeColor="text1"/>
        </w:rPr>
        <w:t>).</w:t>
      </w:r>
    </w:p>
    <w:p w14:paraId="5FAA8B1C" w14:textId="0277F65D" w:rsidR="00844488" w:rsidRPr="00A61D6B" w:rsidRDefault="00844488" w:rsidP="00844488">
      <w:pPr>
        <w:spacing w:after="120" w:line="240" w:lineRule="auto"/>
        <w:rPr>
          <w:color w:val="000000" w:themeColor="text1"/>
        </w:rPr>
      </w:pPr>
      <w:r>
        <w:rPr>
          <w:color w:val="000000" w:themeColor="text1"/>
        </w:rPr>
        <w:t xml:space="preserve">Come evidenziato nel precedente Rapporto, </w:t>
      </w:r>
      <w:r w:rsidRPr="00A61D6B">
        <w:rPr>
          <w:color w:val="000000" w:themeColor="text1"/>
        </w:rPr>
        <w:t xml:space="preserve">l’1% </w:t>
      </w:r>
      <w:r>
        <w:rPr>
          <w:color w:val="000000" w:themeColor="text1"/>
        </w:rPr>
        <w:t xml:space="preserve">dei decessi </w:t>
      </w:r>
      <w:r w:rsidRPr="00A61D6B">
        <w:rPr>
          <w:color w:val="000000" w:themeColor="text1"/>
        </w:rPr>
        <w:t xml:space="preserve">ha riguardato persone di età inferiore ai 50 anni, motivo per cui le valutazioni sul contributo che i decessi riportati alla Sorveglianza Integrata Covid-19 hanno avuto sull’eccesso di mortalità </w:t>
      </w:r>
      <w:r>
        <w:rPr>
          <w:color w:val="000000" w:themeColor="text1"/>
        </w:rPr>
        <w:t xml:space="preserve">sono </w:t>
      </w:r>
      <w:r w:rsidRPr="00A61D6B">
        <w:rPr>
          <w:color w:val="000000" w:themeColor="text1"/>
        </w:rPr>
        <w:t>limita</w:t>
      </w:r>
      <w:r>
        <w:rPr>
          <w:color w:val="000000" w:themeColor="text1"/>
        </w:rPr>
        <w:t>te alle fasce di età sopra i cinquanta anni</w:t>
      </w:r>
      <w:r w:rsidRPr="00A61D6B">
        <w:rPr>
          <w:color w:val="000000" w:themeColor="text1"/>
        </w:rPr>
        <w:t>. Considerando la distribuzione per classi quinquennali di età</w:t>
      </w:r>
      <w:r>
        <w:rPr>
          <w:color w:val="000000" w:themeColor="text1"/>
        </w:rPr>
        <w:t>,</w:t>
      </w:r>
      <w:r w:rsidRPr="00A61D6B">
        <w:rPr>
          <w:color w:val="000000" w:themeColor="text1"/>
        </w:rPr>
        <w:t xml:space="preserve"> la classe mediana di età al decesso è la classe 80-84 (75-79 per gli uomini e 85-89 per le donne).</w:t>
      </w:r>
    </w:p>
    <w:p w14:paraId="2CA7AB3C" w14:textId="77777777" w:rsidR="00844488" w:rsidRPr="00A61D6B" w:rsidRDefault="00844488" w:rsidP="00844488">
      <w:pPr>
        <w:spacing w:after="120" w:line="240" w:lineRule="auto"/>
        <w:rPr>
          <w:color w:val="000000" w:themeColor="text1"/>
        </w:rPr>
      </w:pPr>
      <w:r>
        <w:rPr>
          <w:color w:val="000000" w:themeColor="text1"/>
        </w:rPr>
        <w:t xml:space="preserve">In questo </w:t>
      </w:r>
      <w:r w:rsidRPr="00A61D6B">
        <w:rPr>
          <w:color w:val="000000" w:themeColor="text1"/>
        </w:rPr>
        <w:t>Rapporto</w:t>
      </w:r>
      <w:r>
        <w:rPr>
          <w:color w:val="000000" w:themeColor="text1"/>
        </w:rPr>
        <w:t>,</w:t>
      </w:r>
      <w:r w:rsidRPr="00A61D6B">
        <w:rPr>
          <w:color w:val="000000" w:themeColor="text1"/>
        </w:rPr>
        <w:t xml:space="preserve"> oltre ai valori assoluti dei decessi Covid-19</w:t>
      </w:r>
      <w:r>
        <w:rPr>
          <w:color w:val="000000" w:themeColor="text1"/>
        </w:rPr>
        <w:t>,</w:t>
      </w:r>
      <w:r w:rsidRPr="00A61D6B">
        <w:rPr>
          <w:color w:val="000000" w:themeColor="text1"/>
        </w:rPr>
        <w:t xml:space="preserve"> sono stati calcolati anche i</w:t>
      </w:r>
      <w:r>
        <w:rPr>
          <w:color w:val="000000" w:themeColor="text1"/>
        </w:rPr>
        <w:t xml:space="preserve"> tassi standardizzati di mortalità</w:t>
      </w:r>
      <w:r>
        <w:rPr>
          <w:rStyle w:val="Rimandonotaapidipagina"/>
          <w:color w:val="000000" w:themeColor="text1"/>
        </w:rPr>
        <w:footnoteReference w:id="9"/>
      </w:r>
      <w:r w:rsidRPr="00A61D6B">
        <w:rPr>
          <w:color w:val="000000" w:themeColor="text1"/>
        </w:rPr>
        <w:t xml:space="preserve">, </w:t>
      </w:r>
      <w:r>
        <w:rPr>
          <w:color w:val="000000" w:themeColor="text1"/>
        </w:rPr>
        <w:t>che consentono di effettuare confronti tra Province a parità di struttura per età</w:t>
      </w:r>
      <w:r w:rsidRPr="00A61D6B">
        <w:rPr>
          <w:color w:val="000000" w:themeColor="text1"/>
        </w:rPr>
        <w:t>. Considerando i valor</w:t>
      </w:r>
      <w:r>
        <w:rPr>
          <w:color w:val="000000" w:themeColor="text1"/>
        </w:rPr>
        <w:t>i dei tassi all’interno delle aree</w:t>
      </w:r>
      <w:r w:rsidRPr="00A61D6B">
        <w:rPr>
          <w:color w:val="000000" w:themeColor="text1"/>
        </w:rPr>
        <w:t xml:space="preserve"> di diffusione, l</w:t>
      </w:r>
      <w:r>
        <w:rPr>
          <w:color w:val="000000" w:themeColor="text1"/>
        </w:rPr>
        <w:t>e</w:t>
      </w:r>
      <w:r w:rsidRPr="00A61D6B">
        <w:rPr>
          <w:color w:val="000000" w:themeColor="text1"/>
        </w:rPr>
        <w:t xml:space="preserve"> </w:t>
      </w:r>
      <w:r>
        <w:rPr>
          <w:color w:val="000000" w:themeColor="text1"/>
        </w:rPr>
        <w:t>aree a diffusione</w:t>
      </w:r>
      <w:r w:rsidRPr="00A61D6B">
        <w:rPr>
          <w:color w:val="000000" w:themeColor="text1"/>
        </w:rPr>
        <w:t xml:space="preserve"> </w:t>
      </w:r>
      <w:r>
        <w:rPr>
          <w:color w:val="000000" w:themeColor="text1"/>
        </w:rPr>
        <w:t>“</w:t>
      </w:r>
      <w:r w:rsidRPr="00A61D6B">
        <w:rPr>
          <w:color w:val="000000" w:themeColor="text1"/>
        </w:rPr>
        <w:t>alta</w:t>
      </w:r>
      <w:r>
        <w:rPr>
          <w:color w:val="000000" w:themeColor="text1"/>
        </w:rPr>
        <w:t>”</w:t>
      </w:r>
      <w:r w:rsidRPr="00A61D6B">
        <w:rPr>
          <w:color w:val="000000" w:themeColor="text1"/>
        </w:rPr>
        <w:t xml:space="preserve"> ha</w:t>
      </w:r>
      <w:r>
        <w:rPr>
          <w:color w:val="000000" w:themeColor="text1"/>
        </w:rPr>
        <w:t>nno</w:t>
      </w:r>
      <w:r w:rsidRPr="00A61D6B">
        <w:rPr>
          <w:color w:val="000000" w:themeColor="text1"/>
        </w:rPr>
        <w:t xml:space="preserve"> un tasso </w:t>
      </w:r>
      <w:r>
        <w:rPr>
          <w:color w:val="000000" w:themeColor="text1"/>
        </w:rPr>
        <w:t xml:space="preserve">di mortalità per Covid-19 </w:t>
      </w:r>
      <w:r w:rsidRPr="00A61D6B">
        <w:rPr>
          <w:color w:val="000000" w:themeColor="text1"/>
        </w:rPr>
        <w:t xml:space="preserve">pari a 84,1 </w:t>
      </w:r>
      <w:r>
        <w:rPr>
          <w:color w:val="000000" w:themeColor="text1"/>
        </w:rPr>
        <w:t xml:space="preserve">decessi </w:t>
      </w:r>
      <w:r w:rsidRPr="00A61D6B">
        <w:rPr>
          <w:color w:val="000000" w:themeColor="text1"/>
        </w:rPr>
        <w:t xml:space="preserve">ogni 100.000 residenti, </w:t>
      </w:r>
      <w:r>
        <w:rPr>
          <w:color w:val="000000" w:themeColor="text1"/>
        </w:rPr>
        <w:t>quelle a diffusione</w:t>
      </w:r>
      <w:r w:rsidRPr="00A61D6B">
        <w:rPr>
          <w:color w:val="000000" w:themeColor="text1"/>
        </w:rPr>
        <w:t xml:space="preserve"> </w:t>
      </w:r>
      <w:r>
        <w:rPr>
          <w:color w:val="000000" w:themeColor="text1"/>
        </w:rPr>
        <w:t>“</w:t>
      </w:r>
      <w:r w:rsidRPr="00A61D6B">
        <w:rPr>
          <w:color w:val="000000" w:themeColor="text1"/>
        </w:rPr>
        <w:t>media</w:t>
      </w:r>
      <w:r>
        <w:rPr>
          <w:color w:val="000000" w:themeColor="text1"/>
        </w:rPr>
        <w:t>”</w:t>
      </w:r>
      <w:r w:rsidRPr="00A61D6B">
        <w:rPr>
          <w:color w:val="000000" w:themeColor="text1"/>
        </w:rPr>
        <w:t xml:space="preserve"> 20,2 e </w:t>
      </w:r>
      <w:r>
        <w:rPr>
          <w:color w:val="000000" w:themeColor="text1"/>
        </w:rPr>
        <w:t>quelle a diffusione “</w:t>
      </w:r>
      <w:r w:rsidRPr="00A61D6B">
        <w:rPr>
          <w:color w:val="000000" w:themeColor="text1"/>
        </w:rPr>
        <w:t>bassa</w:t>
      </w:r>
      <w:r>
        <w:rPr>
          <w:color w:val="000000" w:themeColor="text1"/>
        </w:rPr>
        <w:t>”</w:t>
      </w:r>
      <w:r w:rsidRPr="00A61D6B">
        <w:rPr>
          <w:color w:val="000000" w:themeColor="text1"/>
        </w:rPr>
        <w:t xml:space="preserve"> 5,7 </w:t>
      </w:r>
      <w:r>
        <w:rPr>
          <w:color w:val="000000" w:themeColor="text1"/>
        </w:rPr>
        <w:t xml:space="preserve">decessi </w:t>
      </w:r>
      <w:r w:rsidRPr="00A61D6B">
        <w:rPr>
          <w:color w:val="000000" w:themeColor="text1"/>
        </w:rPr>
        <w:t>ogni 100.000</w:t>
      </w:r>
      <w:r>
        <w:rPr>
          <w:color w:val="000000" w:themeColor="text1"/>
        </w:rPr>
        <w:t xml:space="preserve"> residenti</w:t>
      </w:r>
      <w:r w:rsidRPr="00A61D6B">
        <w:rPr>
          <w:color w:val="000000" w:themeColor="text1"/>
        </w:rPr>
        <w:t>.</w:t>
      </w:r>
      <w:r w:rsidRPr="00A61D6B">
        <w:t xml:space="preserve"> </w:t>
      </w:r>
    </w:p>
    <w:p w14:paraId="60D19A30" w14:textId="07C0890A" w:rsidR="00A61D6B" w:rsidRPr="00A61D6B" w:rsidRDefault="00A61D6B" w:rsidP="00844488">
      <w:pPr>
        <w:rPr>
          <w:color w:val="000000" w:themeColor="text1"/>
        </w:rPr>
      </w:pPr>
    </w:p>
    <w:p w14:paraId="3CBF83CB" w14:textId="4773DC63" w:rsidR="00224EC5" w:rsidRPr="00A072C3" w:rsidRDefault="00FE1DA3" w:rsidP="00224EC5">
      <w:pPr>
        <w:rPr>
          <w:rFonts w:ascii="Arial Narrow" w:hAnsi="Arial Narrow"/>
          <w:b/>
          <w:bCs/>
          <w:iCs w:val="0"/>
          <w:color w:val="1F3864" w:themeColor="accent5" w:themeShade="80"/>
          <w:sz w:val="32"/>
          <w:szCs w:val="32"/>
        </w:rPr>
      </w:pPr>
      <w:r>
        <w:rPr>
          <w:rFonts w:ascii="Arial Narrow" w:hAnsi="Arial Narrow"/>
          <w:b/>
          <w:bCs/>
          <w:iCs w:val="0"/>
          <w:color w:val="1F3864" w:themeColor="accent5" w:themeShade="80"/>
          <w:sz w:val="32"/>
          <w:szCs w:val="32"/>
        </w:rPr>
        <w:t>L’aumento della mortalità totale è massimo a marzo</w:t>
      </w:r>
      <w:r w:rsidR="00224EC5" w:rsidRPr="00A072C3">
        <w:rPr>
          <w:rFonts w:ascii="Arial Narrow" w:hAnsi="Arial Narrow"/>
          <w:b/>
          <w:bCs/>
          <w:iCs w:val="0"/>
          <w:color w:val="1F3864" w:themeColor="accent5" w:themeShade="80"/>
          <w:sz w:val="32"/>
          <w:szCs w:val="32"/>
        </w:rPr>
        <w:t xml:space="preserve"> 2020 </w:t>
      </w:r>
    </w:p>
    <w:p w14:paraId="30519BE3" w14:textId="4663D8F7" w:rsidR="004B1F71" w:rsidRPr="00176E62" w:rsidRDefault="004B1F71" w:rsidP="004B1F71">
      <w:pPr>
        <w:spacing w:after="120" w:line="240" w:lineRule="auto"/>
      </w:pPr>
      <w:r w:rsidRPr="00176E62">
        <w:t>Una delle conseguenze più drammatiche degli effetti della epidemia riguarda l’incremento complessivo dei decessi. D’altra parte il dato dei morti riportati alla Sorveglianza</w:t>
      </w:r>
      <w:r w:rsidR="001B2338">
        <w:t xml:space="preserve"> Nazionale </w:t>
      </w:r>
      <w:r w:rsidRPr="00176E62">
        <w:t xml:space="preserve"> integrata Covid-19 fornisce solo una misura parziale di questi effetti, essendo riferito ai soli casi di deceduti dopo una diagnosi microbiologica di positività al virus. Si tratta, pertanto, di un indicatore influenzato non solo dalle modalità di classificazione delle cause di morte, ma anche dalla presenza di un test di positività al virus.</w:t>
      </w:r>
    </w:p>
    <w:p w14:paraId="45D61B2C" w14:textId="77777777" w:rsidR="004B1F71" w:rsidRPr="00176E62" w:rsidRDefault="004B1F71" w:rsidP="004B1F71">
      <w:pPr>
        <w:spacing w:after="120" w:line="240" w:lineRule="auto"/>
      </w:pPr>
      <w:r w:rsidRPr="00176E62">
        <w:t xml:space="preserve">Una misura più universale dell’impatto dell’epidemia sulla mortalità della popolazione è data dall’eccesso dei decessi, per il complesso delle cause, risultanti dal confronto, a parità di periodo, del dato del 2020 con la media dei decessi del quinquennio precedente (2015-2019). In tal modo si assume implicitamente che la diffusione dell’epidemia produca un aumento dei decessi anche non direttamente riferibili alla sorveglianza Covid-19, ovvero al numero di casi positivi deceduti. </w:t>
      </w:r>
    </w:p>
    <w:p w14:paraId="303FC5A1" w14:textId="77777777" w:rsidR="003C1302" w:rsidRDefault="003C1302" w:rsidP="00224EC5"/>
    <w:p w14:paraId="198D7154" w14:textId="77777777" w:rsidR="003C1302" w:rsidRDefault="003C1302" w:rsidP="00224EC5"/>
    <w:p w14:paraId="62417410" w14:textId="77777777" w:rsidR="003C1302" w:rsidRDefault="003C1302" w:rsidP="00224EC5"/>
    <w:p w14:paraId="040E6DC5" w14:textId="77777777" w:rsidR="003C1302" w:rsidRDefault="003C1302" w:rsidP="00224EC5"/>
    <w:p w14:paraId="0CBFEDD9" w14:textId="302E86DA" w:rsidR="004B1F71" w:rsidRDefault="004B1F71" w:rsidP="00224EC5">
      <w:pPr>
        <w:rPr>
          <w:rFonts w:ascii="Arial Black" w:hAnsi="Arial Black"/>
          <w:b/>
          <w:bCs/>
          <w:iCs w:val="0"/>
          <w:color w:val="1F3864" w:themeColor="accent5" w:themeShade="80"/>
          <w:sz w:val="24"/>
          <w:szCs w:val="24"/>
          <w:highlight w:val="yellow"/>
        </w:rPr>
      </w:pPr>
      <w:r>
        <w:t>C</w:t>
      </w:r>
      <w:r w:rsidRPr="00176E62">
        <w:t>onsiderando l’andamento dei decessi per il complesso delle cause nel primo bimestre del 2020 ris</w:t>
      </w:r>
      <w:r>
        <w:t>petto al 2015-2019, e quello nei mesi di marzo</w:t>
      </w:r>
      <w:r>
        <w:rPr>
          <w:rStyle w:val="Rimandonotaapidipagina"/>
        </w:rPr>
        <w:footnoteReference w:id="10"/>
      </w:r>
      <w:r>
        <w:t xml:space="preserve"> e aprile 2020, si può constatare come</w:t>
      </w:r>
      <w:r w:rsidRPr="00176E62">
        <w:t xml:space="preserve"> </w:t>
      </w:r>
      <w:r>
        <w:t xml:space="preserve">a partire da marzo </w:t>
      </w:r>
      <w:r w:rsidRPr="00176E62">
        <w:t>ci sia una imp</w:t>
      </w:r>
      <w:r>
        <w:t>ortante “rottura” della tendenza</w:t>
      </w:r>
      <w:r w:rsidRPr="00176E62">
        <w:t xml:space="preserve"> alla diminuzione della mortalità ravvisabile a inizio 2020. Anche quando non si ha una netta inversione di tendenza, infatti, la diminuzione dei decessi a marzo 2020 è comunque molto più contenuta rispetto ai due mesi precedenti</w:t>
      </w:r>
      <w:r>
        <w:t xml:space="preserve"> (Tabella 2)</w:t>
      </w:r>
      <w:r w:rsidRPr="00176E62">
        <w:t>.</w:t>
      </w:r>
    </w:p>
    <w:p w14:paraId="66BF2BF6" w14:textId="5EE0EFDC" w:rsidR="004B1F71" w:rsidRPr="008C18E8" w:rsidRDefault="004B1F71" w:rsidP="004B1F71">
      <w:pPr>
        <w:spacing w:line="240" w:lineRule="auto"/>
        <w:rPr>
          <w:b/>
          <w:bCs/>
          <w:color w:val="1F3864" w:themeColor="accent5" w:themeShade="80"/>
          <w:sz w:val="20"/>
          <w:szCs w:val="20"/>
        </w:rPr>
      </w:pPr>
      <w:r w:rsidRPr="004B1F71">
        <w:rPr>
          <w:b/>
          <w:bCs/>
          <w:iCs w:val="0"/>
          <w:color w:val="1F3864" w:themeColor="accent5" w:themeShade="80"/>
          <w:sz w:val="20"/>
          <w:szCs w:val="20"/>
        </w:rPr>
        <w:t>Tabella 2.</w:t>
      </w:r>
      <w:r w:rsidRPr="008C18E8">
        <w:rPr>
          <w:b/>
          <w:sz w:val="20"/>
          <w:szCs w:val="20"/>
        </w:rPr>
        <w:t xml:space="preserve"> </w:t>
      </w:r>
      <w:r w:rsidRPr="008C18E8">
        <w:rPr>
          <w:b/>
          <w:bCs/>
          <w:color w:val="1F3864" w:themeColor="accent5" w:themeShade="80"/>
          <w:sz w:val="20"/>
          <w:szCs w:val="20"/>
        </w:rPr>
        <w:t>Decessi per il complesso delle cause e per Covid-19 nel primo quadrimestre 2020, confronto con la media per lo stesso periodo del 2015-2019, per classe di diffusione dell’epidemia, regione, ripartizione e Italia.</w:t>
      </w:r>
    </w:p>
    <w:p w14:paraId="50BA55AB" w14:textId="0A5E766E" w:rsidR="000D2A9A" w:rsidRPr="0022329A" w:rsidRDefault="00D75767" w:rsidP="00D75767">
      <w:pPr>
        <w:spacing w:line="240" w:lineRule="auto"/>
        <w:rPr>
          <w:b/>
          <w:bCs/>
          <w:color w:val="1F3864" w:themeColor="accent5" w:themeShade="80"/>
          <w:sz w:val="24"/>
          <w:szCs w:val="24"/>
        </w:rPr>
      </w:pPr>
      <w:r w:rsidRPr="00D75767">
        <w:rPr>
          <w:noProof/>
          <w:lang w:eastAsia="it-IT"/>
        </w:rPr>
        <w:drawing>
          <wp:inline distT="0" distB="0" distL="0" distR="0" wp14:anchorId="211D79CC" wp14:editId="5F12047A">
            <wp:extent cx="6120130" cy="3422309"/>
            <wp:effectExtent l="0" t="0" r="0" b="698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3422309"/>
                    </a:xfrm>
                    <a:prstGeom prst="rect">
                      <a:avLst/>
                    </a:prstGeom>
                    <a:noFill/>
                    <a:ln>
                      <a:noFill/>
                    </a:ln>
                  </pic:spPr>
                </pic:pic>
              </a:graphicData>
            </a:graphic>
          </wp:inline>
        </w:drawing>
      </w:r>
    </w:p>
    <w:p w14:paraId="3F2B8209" w14:textId="71A82B9F" w:rsidR="00D75767" w:rsidRDefault="00D75767" w:rsidP="00D75767">
      <w:pPr>
        <w:spacing w:after="0" w:line="240" w:lineRule="auto"/>
        <w:rPr>
          <w:i/>
          <w:sz w:val="16"/>
          <w:szCs w:val="16"/>
        </w:rPr>
      </w:pPr>
      <w:r w:rsidRPr="00D75767">
        <w:rPr>
          <w:i/>
          <w:sz w:val="16"/>
          <w:szCs w:val="16"/>
        </w:rPr>
        <w:t xml:space="preserve">Fonte: Istat. Base dati integrata mortalità giornaliera comunale, </w:t>
      </w:r>
      <w:proofErr w:type="spellStart"/>
      <w:r w:rsidRPr="00D75767">
        <w:rPr>
          <w:i/>
          <w:sz w:val="16"/>
          <w:szCs w:val="16"/>
        </w:rPr>
        <w:t>Iss</w:t>
      </w:r>
      <w:proofErr w:type="spellEnd"/>
      <w:r w:rsidRPr="00D75767">
        <w:rPr>
          <w:i/>
          <w:sz w:val="16"/>
          <w:szCs w:val="16"/>
        </w:rPr>
        <w:t xml:space="preserve"> registro sorveglianza Covid-19</w:t>
      </w:r>
      <w:r>
        <w:rPr>
          <w:i/>
          <w:sz w:val="16"/>
          <w:szCs w:val="16"/>
        </w:rPr>
        <w:t>.</w:t>
      </w:r>
    </w:p>
    <w:p w14:paraId="5B9E579D" w14:textId="544B7CEF" w:rsidR="00D75767" w:rsidRDefault="00D75767" w:rsidP="00D75767">
      <w:pPr>
        <w:spacing w:after="0"/>
        <w:rPr>
          <w:i/>
          <w:sz w:val="16"/>
          <w:szCs w:val="16"/>
        </w:rPr>
      </w:pPr>
      <w:r w:rsidRPr="00D75767">
        <w:rPr>
          <w:i/>
          <w:sz w:val="16"/>
          <w:szCs w:val="16"/>
        </w:rPr>
        <w:t>(a) Tass</w:t>
      </w:r>
      <w:r w:rsidR="002B1AC0">
        <w:rPr>
          <w:i/>
          <w:sz w:val="16"/>
          <w:szCs w:val="16"/>
        </w:rPr>
        <w:t xml:space="preserve">o standardizzato di mortalità: </w:t>
      </w:r>
      <w:r w:rsidRPr="00D75767">
        <w:rPr>
          <w:i/>
          <w:sz w:val="16"/>
          <w:szCs w:val="16"/>
        </w:rPr>
        <w:t>aggiustamento del tasso di mortalità che permette di confrontare popolazioni che hanno distribuzione per età tra loro diverse. Il metodo di standardizzazione diretto per età è quello più utilizzato e consiste nel sommare i tassi che sono calcolati per ogni specifico gruppo di età su una popolazione di struttura standard in questo caso la Popolazione Italiana al Censimento 2011.</w:t>
      </w:r>
    </w:p>
    <w:p w14:paraId="6D1C0F0D" w14:textId="6D99C51B" w:rsidR="006B3B8A" w:rsidRPr="00D75767" w:rsidRDefault="00B47D56" w:rsidP="00B47D56">
      <w:r w:rsidRPr="00D75767">
        <w:rPr>
          <w:i/>
          <w:sz w:val="16"/>
          <w:szCs w:val="16"/>
        </w:rPr>
        <w:tab/>
      </w:r>
      <w:r w:rsidRPr="00D75767">
        <w:tab/>
      </w:r>
      <w:r w:rsidRPr="00D75767">
        <w:tab/>
      </w:r>
    </w:p>
    <w:p w14:paraId="07D2BA5A" w14:textId="2C101FA3" w:rsidR="001C4730" w:rsidRPr="00176E62" w:rsidRDefault="001C4730" w:rsidP="001C4730">
      <w:pPr>
        <w:spacing w:line="240" w:lineRule="auto"/>
      </w:pPr>
      <w:r w:rsidRPr="00176E62">
        <w:t>A livello regionale è in Lombard</w:t>
      </w:r>
      <w:r>
        <w:t>ia che si riscontra l’incremento dei decessi più marcato</w:t>
      </w:r>
      <w:r w:rsidRPr="00176E62">
        <w:t>: si passa da una</w:t>
      </w:r>
      <w:r>
        <w:t xml:space="preserve"> diminuzione  del 6,9</w:t>
      </w:r>
      <w:r w:rsidRPr="00176E62">
        <w:t xml:space="preserve">% nel </w:t>
      </w:r>
      <w:r>
        <w:t>periodo</w:t>
      </w:r>
      <w:r w:rsidRPr="00176E62">
        <w:t xml:space="preserve"> gennaio-febbraio 2020 - rispetto alla media nello stesso periodo 2015-2019 - a un a</w:t>
      </w:r>
      <w:r>
        <w:t>umento del 188</w:t>
      </w:r>
      <w:r w:rsidRPr="00176E62">
        <w:t>% nel mese di marzo</w:t>
      </w:r>
      <w:r>
        <w:t>;</w:t>
      </w:r>
      <w:r w:rsidRPr="00176E62">
        <w:t xml:space="preserve"> seguono l’Emilia</w:t>
      </w:r>
      <w:r>
        <w:t>-Romagna, con un aumento del 71%, il Trentino Alto-Adige (69,5</w:t>
      </w:r>
      <w:r w:rsidRPr="00176E62">
        <w:t xml:space="preserve">%), </w:t>
      </w:r>
      <w:r>
        <w:t>la Valle d’Aosta (60,9%), la Liguria (54,3%), il Piemonte (51,6%) e le Marche (48,9%) (Tabella 2</w:t>
      </w:r>
      <w:r w:rsidRPr="00176E62">
        <w:t xml:space="preserve">). </w:t>
      </w:r>
    </w:p>
    <w:p w14:paraId="295D6DDB" w14:textId="77777777" w:rsidR="003C1302" w:rsidRDefault="003C1302" w:rsidP="001C4730">
      <w:pPr>
        <w:spacing w:after="120" w:line="240" w:lineRule="auto"/>
      </w:pPr>
    </w:p>
    <w:p w14:paraId="004C22FC" w14:textId="77777777" w:rsidR="003C1302" w:rsidRDefault="003C1302" w:rsidP="001C4730">
      <w:pPr>
        <w:spacing w:after="120" w:line="240" w:lineRule="auto"/>
      </w:pPr>
    </w:p>
    <w:p w14:paraId="1C79ECC7" w14:textId="77777777" w:rsidR="007544F6" w:rsidRDefault="007544F6" w:rsidP="001C4730">
      <w:pPr>
        <w:spacing w:after="120" w:line="240" w:lineRule="auto"/>
      </w:pPr>
    </w:p>
    <w:p w14:paraId="0C7D4226" w14:textId="77777777" w:rsidR="007544F6" w:rsidRDefault="007544F6" w:rsidP="001C4730">
      <w:pPr>
        <w:spacing w:after="120" w:line="240" w:lineRule="auto"/>
      </w:pPr>
    </w:p>
    <w:p w14:paraId="3A43CB76" w14:textId="77777777" w:rsidR="001C4730" w:rsidRDefault="001C4730" w:rsidP="001C4730">
      <w:pPr>
        <w:spacing w:after="120" w:line="240" w:lineRule="auto"/>
      </w:pPr>
      <w:r w:rsidRPr="00176E62">
        <w:t>A causa della forte concentrazione del fenomeno, anche la sintesi a livello regionale non dà conto dell’intensità drammaticamente elevata che questo ha assunto in alcune aree. A tale scopo un livello di dettaglio territoriale più efficace è senz’alt</w:t>
      </w:r>
      <w:r>
        <w:t>ro quello provinciale (Tabelle 3, 4 e 5</w:t>
      </w:r>
      <w:r w:rsidRPr="00176E62">
        <w:t xml:space="preserve">). </w:t>
      </w:r>
    </w:p>
    <w:p w14:paraId="1992A861" w14:textId="53CD56A0" w:rsidR="007E60F7" w:rsidRDefault="001C4730" w:rsidP="00224EC5">
      <w:r>
        <w:t>Come già evidenziato nel precedente Rapporto, a</w:t>
      </w:r>
      <w:r w:rsidRPr="00176E62">
        <w:t>ll’interno della classe di province ad alta diffusione dell’epidemia, le più colpite hanno pagato un prezzo altissimo</w:t>
      </w:r>
      <w:r>
        <w:t>,</w:t>
      </w:r>
      <w:r w:rsidRPr="00176E62">
        <w:t xml:space="preserve"> con incrementi percentuali a tre cifre dei decessi nel mese di marzo 2020 rispetto al 2015-2019: Bergamo (</w:t>
      </w:r>
      <w:r w:rsidRPr="00200998">
        <w:t>571%), Cremona (401%), Lodi (377%), Brescia (292%), Piacenza (271%), Parma (209%), Lecco (184%), Pavia (136%), Pesaro e Urbino (125%) e Mantova (123%).</w:t>
      </w:r>
    </w:p>
    <w:p w14:paraId="5C88C409" w14:textId="5E9CFFE8" w:rsidR="001C4730" w:rsidRPr="008C18E8" w:rsidRDefault="001C4730" w:rsidP="001C4730">
      <w:pPr>
        <w:spacing w:after="120" w:line="240" w:lineRule="auto"/>
        <w:rPr>
          <w:color w:val="1F3864" w:themeColor="accent5" w:themeShade="80"/>
          <w:sz w:val="20"/>
          <w:szCs w:val="20"/>
        </w:rPr>
      </w:pPr>
      <w:r w:rsidRPr="008C18E8">
        <w:rPr>
          <w:b/>
          <w:bCs/>
          <w:iCs w:val="0"/>
          <w:color w:val="1F3864" w:themeColor="accent5" w:themeShade="80"/>
          <w:sz w:val="20"/>
          <w:szCs w:val="20"/>
        </w:rPr>
        <w:t>Tabella 3.</w:t>
      </w:r>
      <w:r w:rsidRPr="008C18E8">
        <w:rPr>
          <w:b/>
          <w:sz w:val="20"/>
          <w:szCs w:val="20"/>
        </w:rPr>
        <w:t xml:space="preserve"> </w:t>
      </w:r>
      <w:r w:rsidRPr="008C18E8">
        <w:rPr>
          <w:b/>
          <w:bCs/>
          <w:color w:val="1F3864" w:themeColor="accent5" w:themeShade="80"/>
          <w:sz w:val="20"/>
          <w:szCs w:val="20"/>
        </w:rPr>
        <w:t xml:space="preserve">Decessi per il complesso delle cause e per Covid-19 nel primo quadrimestre 2020, confronto con la media per lo stesso periodo del 2015-2019, per provincia e classe di diffusione dell’epidemia. </w:t>
      </w:r>
      <w:r w:rsidRPr="008C18E8">
        <w:rPr>
          <w:color w:val="1F3864" w:themeColor="accent5" w:themeShade="80"/>
          <w:sz w:val="20"/>
          <w:szCs w:val="20"/>
        </w:rPr>
        <w:t xml:space="preserve">Province della classe </w:t>
      </w:r>
      <w:r w:rsidRPr="008C18E8">
        <w:rPr>
          <w:b/>
          <w:bCs/>
          <w:color w:val="1F3864" w:themeColor="accent5" w:themeShade="80"/>
          <w:sz w:val="20"/>
          <w:szCs w:val="20"/>
        </w:rPr>
        <w:t xml:space="preserve">alta </w:t>
      </w:r>
      <w:r w:rsidRPr="008C18E8">
        <w:rPr>
          <w:color w:val="1F3864" w:themeColor="accent5" w:themeShade="80"/>
          <w:sz w:val="20"/>
          <w:szCs w:val="20"/>
        </w:rPr>
        <w:t>diffusione</w:t>
      </w:r>
      <w:r w:rsidRPr="001C4730">
        <w:rPr>
          <w:b/>
          <w:color w:val="1F3864" w:themeColor="accent5" w:themeShade="80"/>
          <w:sz w:val="20"/>
          <w:szCs w:val="20"/>
        </w:rPr>
        <w:t>.</w:t>
      </w:r>
    </w:p>
    <w:p w14:paraId="27126755" w14:textId="4CCC7026" w:rsidR="00224EC5" w:rsidRDefault="003C192F" w:rsidP="00915829">
      <w:pPr>
        <w:spacing w:after="0"/>
        <w:rPr>
          <w:b/>
        </w:rPr>
      </w:pPr>
      <w:r w:rsidRPr="003C192F">
        <w:rPr>
          <w:noProof/>
          <w:lang w:eastAsia="it-IT"/>
        </w:rPr>
        <w:drawing>
          <wp:inline distT="0" distB="0" distL="0" distR="0" wp14:anchorId="7B13C83B" wp14:editId="7984ABD4">
            <wp:extent cx="6120130" cy="4647136"/>
            <wp:effectExtent l="0" t="0" r="0" b="127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4647136"/>
                    </a:xfrm>
                    <a:prstGeom prst="rect">
                      <a:avLst/>
                    </a:prstGeom>
                    <a:noFill/>
                    <a:ln>
                      <a:noFill/>
                    </a:ln>
                  </pic:spPr>
                </pic:pic>
              </a:graphicData>
            </a:graphic>
          </wp:inline>
        </w:drawing>
      </w:r>
    </w:p>
    <w:p w14:paraId="0794069D" w14:textId="77777777" w:rsidR="003C192F" w:rsidRDefault="003C192F" w:rsidP="003C192F">
      <w:pPr>
        <w:spacing w:after="0" w:line="240" w:lineRule="auto"/>
        <w:rPr>
          <w:i/>
          <w:sz w:val="16"/>
          <w:szCs w:val="16"/>
        </w:rPr>
      </w:pPr>
      <w:r w:rsidRPr="00D75767">
        <w:rPr>
          <w:i/>
          <w:sz w:val="16"/>
          <w:szCs w:val="16"/>
        </w:rPr>
        <w:t xml:space="preserve">Fonte: Istat. Base dati integrata mortalità giornaliera comunale, </w:t>
      </w:r>
      <w:proofErr w:type="spellStart"/>
      <w:r w:rsidRPr="00D75767">
        <w:rPr>
          <w:i/>
          <w:sz w:val="16"/>
          <w:szCs w:val="16"/>
        </w:rPr>
        <w:t>Iss</w:t>
      </w:r>
      <w:proofErr w:type="spellEnd"/>
      <w:r w:rsidRPr="00D75767">
        <w:rPr>
          <w:i/>
          <w:sz w:val="16"/>
          <w:szCs w:val="16"/>
        </w:rPr>
        <w:t xml:space="preserve"> registro sorveglianza Covid-19</w:t>
      </w:r>
      <w:r>
        <w:rPr>
          <w:i/>
          <w:sz w:val="16"/>
          <w:szCs w:val="16"/>
        </w:rPr>
        <w:t>.</w:t>
      </w:r>
    </w:p>
    <w:p w14:paraId="54CE7240" w14:textId="0E1C5780" w:rsidR="003C192F" w:rsidRDefault="003C192F" w:rsidP="003C192F">
      <w:pPr>
        <w:spacing w:after="0"/>
        <w:rPr>
          <w:i/>
          <w:sz w:val="16"/>
          <w:szCs w:val="16"/>
        </w:rPr>
      </w:pPr>
      <w:r w:rsidRPr="00D75767">
        <w:rPr>
          <w:i/>
          <w:sz w:val="16"/>
          <w:szCs w:val="16"/>
        </w:rPr>
        <w:t>(a) Tass</w:t>
      </w:r>
      <w:r w:rsidR="002B1AC0">
        <w:rPr>
          <w:i/>
          <w:sz w:val="16"/>
          <w:szCs w:val="16"/>
        </w:rPr>
        <w:t xml:space="preserve">o standardizzato di mortalità: </w:t>
      </w:r>
      <w:r w:rsidRPr="00D75767">
        <w:rPr>
          <w:i/>
          <w:sz w:val="16"/>
          <w:szCs w:val="16"/>
        </w:rPr>
        <w:t>aggiustamento del tasso di mortalità che permette di confrontare popolazioni che hanno distribuzione per età tra loro diverse. Il metodo di standardizzazione diretto per età è quello più utilizzato e consiste nel sommare i tassi che sono calcolati per ogni specifico gruppo di età su una popolazione di struttura standard in questo caso la Popolazione Italiana al Censimento 2011.</w:t>
      </w:r>
    </w:p>
    <w:p w14:paraId="62B02181" w14:textId="77777777" w:rsidR="00E23F82" w:rsidRDefault="00E23F82" w:rsidP="00224EC5">
      <w:pPr>
        <w:rPr>
          <w:rFonts w:ascii="Arial Narrow" w:hAnsi="Arial Narrow"/>
          <w:b/>
          <w:bCs/>
          <w:iCs w:val="0"/>
          <w:color w:val="1F3864" w:themeColor="accent5" w:themeShade="80"/>
          <w:sz w:val="32"/>
          <w:szCs w:val="32"/>
        </w:rPr>
      </w:pPr>
    </w:p>
    <w:p w14:paraId="07811843" w14:textId="77777777" w:rsidR="003C1302" w:rsidRDefault="003C1302" w:rsidP="00224EC5">
      <w:pPr>
        <w:rPr>
          <w:rFonts w:ascii="Arial Narrow" w:hAnsi="Arial Narrow"/>
          <w:b/>
          <w:bCs/>
          <w:iCs w:val="0"/>
          <w:color w:val="1F3864" w:themeColor="accent5" w:themeShade="80"/>
          <w:sz w:val="32"/>
          <w:szCs w:val="32"/>
        </w:rPr>
      </w:pPr>
    </w:p>
    <w:p w14:paraId="7E8C7789" w14:textId="77777777" w:rsidR="003C1302" w:rsidRDefault="003C1302" w:rsidP="00224EC5">
      <w:pPr>
        <w:rPr>
          <w:rFonts w:ascii="Arial Narrow" w:hAnsi="Arial Narrow"/>
          <w:b/>
          <w:bCs/>
          <w:iCs w:val="0"/>
          <w:color w:val="1F3864" w:themeColor="accent5" w:themeShade="80"/>
          <w:sz w:val="32"/>
          <w:szCs w:val="32"/>
        </w:rPr>
      </w:pPr>
    </w:p>
    <w:p w14:paraId="6DD2C19F" w14:textId="77777777" w:rsidR="003C1302" w:rsidRDefault="003C1302" w:rsidP="00224EC5">
      <w:pPr>
        <w:rPr>
          <w:rFonts w:ascii="Arial Narrow" w:hAnsi="Arial Narrow"/>
          <w:b/>
          <w:bCs/>
          <w:iCs w:val="0"/>
          <w:color w:val="1F3864" w:themeColor="accent5" w:themeShade="80"/>
          <w:sz w:val="32"/>
          <w:szCs w:val="32"/>
        </w:rPr>
      </w:pPr>
    </w:p>
    <w:p w14:paraId="4D1F15A9" w14:textId="35313387" w:rsidR="00A6166B" w:rsidRDefault="00A6166B" w:rsidP="00224EC5">
      <w:pPr>
        <w:rPr>
          <w:highlight w:val="yellow"/>
        </w:rPr>
      </w:pPr>
      <w:r>
        <w:rPr>
          <w:rFonts w:ascii="Arial Narrow" w:hAnsi="Arial Narrow"/>
          <w:b/>
          <w:bCs/>
          <w:iCs w:val="0"/>
          <w:color w:val="1F3864" w:themeColor="accent5" w:themeShade="80"/>
          <w:sz w:val="32"/>
          <w:szCs w:val="32"/>
        </w:rPr>
        <w:t>Ad aprile importante diminuzione de</w:t>
      </w:r>
      <w:r w:rsidR="005E25A8">
        <w:rPr>
          <w:rFonts w:ascii="Arial Narrow" w:hAnsi="Arial Narrow"/>
          <w:b/>
          <w:bCs/>
          <w:iCs w:val="0"/>
          <w:color w:val="1F3864" w:themeColor="accent5" w:themeShade="80"/>
          <w:sz w:val="32"/>
          <w:szCs w:val="32"/>
        </w:rPr>
        <w:t>i decessi</w:t>
      </w:r>
      <w:r>
        <w:rPr>
          <w:rFonts w:ascii="Arial Narrow" w:hAnsi="Arial Narrow"/>
          <w:b/>
          <w:bCs/>
          <w:iCs w:val="0"/>
          <w:color w:val="1F3864" w:themeColor="accent5" w:themeShade="80"/>
          <w:sz w:val="32"/>
          <w:szCs w:val="32"/>
        </w:rPr>
        <w:t xml:space="preserve"> nelle aree più colpite</w:t>
      </w:r>
    </w:p>
    <w:p w14:paraId="38439403" w14:textId="77777777" w:rsidR="001C4730" w:rsidRPr="00B91A90" w:rsidRDefault="001C4730" w:rsidP="001C4730">
      <w:pPr>
        <w:spacing w:after="120" w:line="240" w:lineRule="auto"/>
      </w:pPr>
      <w:r w:rsidRPr="00B91A90">
        <w:t xml:space="preserve">Nel mese di aprile si evidenziano importanti cambiamenti nello scenario precedentemente descritto. Si osserva, infatti, una riduzione dell’eccesso di mortalità totale, misurato in termini di variazione percentuale dei decessi rispetto allo stesso periodo del 2015-2019, proprio nelle aree che per prime sono state colpite più duramente dall’epidemia (Tabella 3). </w:t>
      </w:r>
    </w:p>
    <w:p w14:paraId="13921594" w14:textId="77777777" w:rsidR="001C4730" w:rsidRPr="00B91A90" w:rsidRDefault="001C4730" w:rsidP="001C4730">
      <w:pPr>
        <w:spacing w:after="120" w:line="240" w:lineRule="auto"/>
      </w:pPr>
      <w:r w:rsidRPr="00B91A90">
        <w:t xml:space="preserve">A livello nazionale i decessi totali scendono da 80.623 di marzo a 64.693 di aprile e la variazione passa da un aumento medio del 48,6% di marzo (26.350 decessi in più rispetto alla media 2015-2019) al 33,6% di aprile (16.283 decessi in più). </w:t>
      </w:r>
    </w:p>
    <w:p w14:paraId="6652841D" w14:textId="77777777" w:rsidR="001C4730" w:rsidRPr="00B91A90" w:rsidRDefault="001C4730" w:rsidP="001C4730">
      <w:pPr>
        <w:spacing w:after="120" w:line="240" w:lineRule="auto"/>
      </w:pPr>
      <w:r w:rsidRPr="00B91A90">
        <w:t>Questa favorevole evoluzione è da attribuire prevalentemente alla riduzione dell’eccesso di mortalità osservata a partire dalla fine del mese di marzo in molte delle province dell’area ad alta diffusione. Nel complesso di questa area i decessi passano da 44.998 di marzo 2020 (113,1% in più rispetto al 2015-2019) a 32.931 di aprile (73,9% in più rispetto al 2015-2019).</w:t>
      </w:r>
    </w:p>
    <w:p w14:paraId="06A332F7" w14:textId="77777777" w:rsidR="001C4730" w:rsidRPr="008C18E8" w:rsidRDefault="001C4730" w:rsidP="001C4730">
      <w:pPr>
        <w:rPr>
          <w:sz w:val="12"/>
          <w:szCs w:val="12"/>
        </w:rPr>
      </w:pPr>
    </w:p>
    <w:p w14:paraId="3DE6ECD2" w14:textId="77777777" w:rsidR="001C4730" w:rsidRPr="00B91A90" w:rsidRDefault="001C4730" w:rsidP="001C4730">
      <w:pPr>
        <w:spacing w:after="120" w:line="240" w:lineRule="auto"/>
      </w:pPr>
      <w:r w:rsidRPr="00B91A90">
        <w:t xml:space="preserve">La diminuzione più importante in termini di decessi e di variazione percentuale si osserva in Lombardia: i morti per il totale delle cause diminuiscono da 24.893 di marzo a 16.190 di aprile 2020 e l’eccesso di decessi rispetto alla media degli stessi mesi del periodo 2015-2019 scende da 188,1% a 107,5%. </w:t>
      </w:r>
    </w:p>
    <w:p w14:paraId="5F180BE1" w14:textId="77777777" w:rsidR="001C4730" w:rsidRPr="00B91A90" w:rsidRDefault="001C4730" w:rsidP="001C4730">
      <w:pPr>
        <w:spacing w:after="120" w:line="240" w:lineRule="auto"/>
      </w:pPr>
      <w:r w:rsidRPr="00B91A90">
        <w:t>Questo risultato positivo è dovuto alla diminuzione della mortalità di aprile in molte delle province che per prime sono state più colpite dall’incremento dei decessi nel mese di marzo; Bergamo e Lodi sono le aree in cui la diminuzione della mortalità è stata più accentuata, l’eccesso di mortalità scende da 571% di marzo a 123% di aprile a Bergamo e da 377% a 79,8% a Lodi (Tabella 3)</w:t>
      </w:r>
    </w:p>
    <w:p w14:paraId="388C9D8A" w14:textId="77777777" w:rsidR="001C4730" w:rsidRPr="00B91A90" w:rsidRDefault="001C4730" w:rsidP="001C4730">
      <w:pPr>
        <w:spacing w:after="120" w:line="240" w:lineRule="auto"/>
      </w:pPr>
      <w:r w:rsidRPr="00B91A90">
        <w:t xml:space="preserve">L’eccesso di mortalità si mantiene ancora alto ad </w:t>
      </w:r>
      <w:r>
        <w:t>a</w:t>
      </w:r>
      <w:r w:rsidRPr="00B91A90">
        <w:t xml:space="preserve">prile e sui livelli di marzo nella province di Pavia (135% di decessi in più rispetto alla media 2015-2019), di Monza e Brianza (101%) e di Milano (98%) </w:t>
      </w:r>
    </w:p>
    <w:p w14:paraId="05849911" w14:textId="3FAB57A9" w:rsidR="001C4730" w:rsidRDefault="002C5458" w:rsidP="001C4730">
      <w:pPr>
        <w:spacing w:line="240" w:lineRule="auto"/>
      </w:pPr>
      <w:r>
        <w:t xml:space="preserve">Va comunque evidenziato che In alcune </w:t>
      </w:r>
      <w:r w:rsidRPr="00B91A90">
        <w:t>delle province della classe ad alta e media diffusione (Tabella 3 e 4), si registra ad aprile un aumento di mortalità più consistente di quello del mese di marzo, rispetto alla media degli stessi mesi del periodo 2015-2019. È il caso ad esempio d Sondrio (9</w:t>
      </w:r>
      <w:r>
        <w:t>3</w:t>
      </w:r>
      <w:r w:rsidRPr="00B91A90">
        <w:t>% di decessi in più ad aprile contro il 78% di marzo) o di Trento (83% ad aprile rispetto al 69% di marzo).</w:t>
      </w:r>
    </w:p>
    <w:p w14:paraId="4AF0E429" w14:textId="77777777" w:rsidR="001C4730" w:rsidRPr="00FA4493" w:rsidRDefault="001C4730" w:rsidP="001C4730">
      <w:pPr>
        <w:spacing w:line="240" w:lineRule="auto"/>
      </w:pPr>
    </w:p>
    <w:p w14:paraId="35C43893" w14:textId="77777777" w:rsidR="003C1302" w:rsidRDefault="003C1302" w:rsidP="001C4730">
      <w:pPr>
        <w:rPr>
          <w:b/>
          <w:bCs/>
          <w:iCs w:val="0"/>
          <w:color w:val="1F3864" w:themeColor="accent5" w:themeShade="80"/>
          <w:sz w:val="20"/>
          <w:szCs w:val="20"/>
        </w:rPr>
      </w:pPr>
    </w:p>
    <w:p w14:paraId="43BB406F" w14:textId="77777777" w:rsidR="003C1302" w:rsidRDefault="003C1302" w:rsidP="001C4730">
      <w:pPr>
        <w:rPr>
          <w:b/>
          <w:bCs/>
          <w:iCs w:val="0"/>
          <w:color w:val="1F3864" w:themeColor="accent5" w:themeShade="80"/>
          <w:sz w:val="20"/>
          <w:szCs w:val="20"/>
        </w:rPr>
      </w:pPr>
    </w:p>
    <w:p w14:paraId="01A3C4C9" w14:textId="77777777" w:rsidR="003C1302" w:rsidRDefault="003C1302" w:rsidP="001C4730">
      <w:pPr>
        <w:rPr>
          <w:b/>
          <w:bCs/>
          <w:iCs w:val="0"/>
          <w:color w:val="1F3864" w:themeColor="accent5" w:themeShade="80"/>
          <w:sz w:val="20"/>
          <w:szCs w:val="20"/>
        </w:rPr>
      </w:pPr>
    </w:p>
    <w:p w14:paraId="02C0FA10" w14:textId="77777777" w:rsidR="003C1302" w:rsidRDefault="003C1302" w:rsidP="001C4730">
      <w:pPr>
        <w:rPr>
          <w:b/>
          <w:bCs/>
          <w:iCs w:val="0"/>
          <w:color w:val="1F3864" w:themeColor="accent5" w:themeShade="80"/>
          <w:sz w:val="20"/>
          <w:szCs w:val="20"/>
        </w:rPr>
      </w:pPr>
    </w:p>
    <w:p w14:paraId="4045DD47" w14:textId="77777777" w:rsidR="003C1302" w:rsidRDefault="003C1302" w:rsidP="001C4730">
      <w:pPr>
        <w:rPr>
          <w:b/>
          <w:bCs/>
          <w:iCs w:val="0"/>
          <w:color w:val="1F3864" w:themeColor="accent5" w:themeShade="80"/>
          <w:sz w:val="20"/>
          <w:szCs w:val="20"/>
        </w:rPr>
      </w:pPr>
    </w:p>
    <w:p w14:paraId="5346CB3D" w14:textId="77777777" w:rsidR="003C1302" w:rsidRDefault="003C1302" w:rsidP="001C4730">
      <w:pPr>
        <w:rPr>
          <w:b/>
          <w:bCs/>
          <w:iCs w:val="0"/>
          <w:color w:val="1F3864" w:themeColor="accent5" w:themeShade="80"/>
          <w:sz w:val="20"/>
          <w:szCs w:val="20"/>
        </w:rPr>
      </w:pPr>
    </w:p>
    <w:p w14:paraId="5DEFB79A" w14:textId="77777777" w:rsidR="003C1302" w:rsidRDefault="003C1302" w:rsidP="001C4730">
      <w:pPr>
        <w:rPr>
          <w:b/>
          <w:bCs/>
          <w:iCs w:val="0"/>
          <w:color w:val="1F3864" w:themeColor="accent5" w:themeShade="80"/>
          <w:sz w:val="20"/>
          <w:szCs w:val="20"/>
        </w:rPr>
      </w:pPr>
    </w:p>
    <w:p w14:paraId="506383FC" w14:textId="77777777" w:rsidR="003C1302" w:rsidRDefault="003C1302" w:rsidP="001C4730">
      <w:pPr>
        <w:rPr>
          <w:b/>
          <w:bCs/>
          <w:iCs w:val="0"/>
          <w:color w:val="1F3864" w:themeColor="accent5" w:themeShade="80"/>
          <w:sz w:val="20"/>
          <w:szCs w:val="20"/>
        </w:rPr>
      </w:pPr>
    </w:p>
    <w:p w14:paraId="14CB29C0" w14:textId="77777777" w:rsidR="003C1302" w:rsidRDefault="003C1302" w:rsidP="001C4730">
      <w:pPr>
        <w:rPr>
          <w:b/>
          <w:bCs/>
          <w:iCs w:val="0"/>
          <w:color w:val="1F3864" w:themeColor="accent5" w:themeShade="80"/>
          <w:sz w:val="20"/>
          <w:szCs w:val="20"/>
        </w:rPr>
      </w:pPr>
    </w:p>
    <w:p w14:paraId="510D5E00" w14:textId="77777777" w:rsidR="003C1302" w:rsidRDefault="003C1302" w:rsidP="001C4730">
      <w:pPr>
        <w:rPr>
          <w:b/>
          <w:bCs/>
          <w:iCs w:val="0"/>
          <w:color w:val="1F3864" w:themeColor="accent5" w:themeShade="80"/>
          <w:sz w:val="20"/>
          <w:szCs w:val="20"/>
        </w:rPr>
      </w:pPr>
    </w:p>
    <w:p w14:paraId="08DC0922" w14:textId="77777777" w:rsidR="003C1302" w:rsidRDefault="003C1302" w:rsidP="001C4730">
      <w:pPr>
        <w:rPr>
          <w:b/>
          <w:bCs/>
          <w:iCs w:val="0"/>
          <w:color w:val="1F3864" w:themeColor="accent5" w:themeShade="80"/>
          <w:sz w:val="20"/>
          <w:szCs w:val="20"/>
        </w:rPr>
      </w:pPr>
    </w:p>
    <w:p w14:paraId="7C571CBD" w14:textId="77777777" w:rsidR="003C1302" w:rsidRDefault="003C1302" w:rsidP="001C4730">
      <w:pPr>
        <w:rPr>
          <w:b/>
          <w:bCs/>
          <w:iCs w:val="0"/>
          <w:color w:val="1F3864" w:themeColor="accent5" w:themeShade="80"/>
          <w:sz w:val="20"/>
          <w:szCs w:val="20"/>
        </w:rPr>
      </w:pPr>
    </w:p>
    <w:p w14:paraId="062E78D9" w14:textId="7009C7E8" w:rsidR="00224EC5" w:rsidRPr="00614A21" w:rsidRDefault="001C4730" w:rsidP="001C4730">
      <w:pPr>
        <w:rPr>
          <w:color w:val="1F3864" w:themeColor="accent5" w:themeShade="80"/>
        </w:rPr>
      </w:pPr>
      <w:r w:rsidRPr="007E60F7">
        <w:rPr>
          <w:b/>
          <w:bCs/>
          <w:iCs w:val="0"/>
          <w:color w:val="1F3864" w:themeColor="accent5" w:themeShade="80"/>
          <w:sz w:val="20"/>
          <w:szCs w:val="20"/>
        </w:rPr>
        <w:t>Tabella 4. Decessi per il complesso delle cause e per Covid-19 nel primo quadrimestre 2020,</w:t>
      </w:r>
      <w:r w:rsidRPr="008C18E8">
        <w:rPr>
          <w:b/>
          <w:bCs/>
          <w:color w:val="1F3864" w:themeColor="accent5" w:themeShade="80"/>
          <w:sz w:val="20"/>
          <w:szCs w:val="20"/>
        </w:rPr>
        <w:t xml:space="preserve"> confronto con la media per lo stesso periodo del 2015-2019, per provincia e classe di diffusione dell’epidemia. </w:t>
      </w:r>
      <w:r w:rsidRPr="008C18E8">
        <w:rPr>
          <w:color w:val="1F3864" w:themeColor="accent5" w:themeShade="80"/>
          <w:sz w:val="20"/>
          <w:szCs w:val="20"/>
        </w:rPr>
        <w:t xml:space="preserve">Province della classe </w:t>
      </w:r>
      <w:r w:rsidRPr="008C18E8">
        <w:rPr>
          <w:b/>
          <w:bCs/>
          <w:color w:val="1F3864" w:themeColor="accent5" w:themeShade="80"/>
          <w:sz w:val="20"/>
          <w:szCs w:val="20"/>
        </w:rPr>
        <w:t>media</w:t>
      </w:r>
      <w:r w:rsidRPr="008C18E8">
        <w:rPr>
          <w:color w:val="1F3864" w:themeColor="accent5" w:themeShade="80"/>
          <w:sz w:val="20"/>
          <w:szCs w:val="20"/>
        </w:rPr>
        <w:t xml:space="preserve"> diffusione</w:t>
      </w:r>
      <w:r w:rsidRPr="001C4730">
        <w:rPr>
          <w:b/>
          <w:color w:val="1F3864" w:themeColor="accent5" w:themeShade="80"/>
          <w:sz w:val="20"/>
          <w:szCs w:val="20"/>
        </w:rPr>
        <w:t>.</w:t>
      </w:r>
    </w:p>
    <w:p w14:paraId="3FDEBEB3" w14:textId="5ED6A1DF" w:rsidR="00224EC5" w:rsidRDefault="00C21CD0" w:rsidP="00224EC5">
      <w:pPr>
        <w:rPr>
          <w:b/>
          <w:sz w:val="24"/>
          <w:szCs w:val="24"/>
        </w:rPr>
      </w:pPr>
      <w:r w:rsidRPr="00C21CD0">
        <w:rPr>
          <w:noProof/>
          <w:lang w:eastAsia="it-IT"/>
        </w:rPr>
        <w:drawing>
          <wp:inline distT="0" distB="0" distL="0" distR="0" wp14:anchorId="00BABF29" wp14:editId="123196D1">
            <wp:extent cx="6120130" cy="3730517"/>
            <wp:effectExtent l="0" t="0" r="0" b="381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3730517"/>
                    </a:xfrm>
                    <a:prstGeom prst="rect">
                      <a:avLst/>
                    </a:prstGeom>
                    <a:noFill/>
                    <a:ln>
                      <a:noFill/>
                    </a:ln>
                  </pic:spPr>
                </pic:pic>
              </a:graphicData>
            </a:graphic>
          </wp:inline>
        </w:drawing>
      </w:r>
    </w:p>
    <w:p w14:paraId="72F9A3F2" w14:textId="77777777" w:rsidR="00C21CD0" w:rsidRDefault="00C21CD0" w:rsidP="00C21CD0">
      <w:pPr>
        <w:spacing w:after="0" w:line="240" w:lineRule="auto"/>
        <w:rPr>
          <w:i/>
          <w:sz w:val="16"/>
          <w:szCs w:val="16"/>
        </w:rPr>
      </w:pPr>
      <w:r w:rsidRPr="00D75767">
        <w:rPr>
          <w:i/>
          <w:sz w:val="16"/>
          <w:szCs w:val="16"/>
        </w:rPr>
        <w:t xml:space="preserve">Fonte: Istat. Base dati integrata mortalità giornaliera comunale, </w:t>
      </w:r>
      <w:proofErr w:type="spellStart"/>
      <w:r w:rsidRPr="00D75767">
        <w:rPr>
          <w:i/>
          <w:sz w:val="16"/>
          <w:szCs w:val="16"/>
        </w:rPr>
        <w:t>Iss</w:t>
      </w:r>
      <w:proofErr w:type="spellEnd"/>
      <w:r w:rsidRPr="00D75767">
        <w:rPr>
          <w:i/>
          <w:sz w:val="16"/>
          <w:szCs w:val="16"/>
        </w:rPr>
        <w:t xml:space="preserve"> registro sorveglianza Covid-19</w:t>
      </w:r>
      <w:r>
        <w:rPr>
          <w:i/>
          <w:sz w:val="16"/>
          <w:szCs w:val="16"/>
        </w:rPr>
        <w:t>.</w:t>
      </w:r>
    </w:p>
    <w:p w14:paraId="6E13622A" w14:textId="6E5752DF" w:rsidR="00C21CD0" w:rsidRDefault="00C21CD0" w:rsidP="00C21CD0">
      <w:pPr>
        <w:spacing w:after="0"/>
        <w:rPr>
          <w:i/>
          <w:sz w:val="16"/>
          <w:szCs w:val="16"/>
        </w:rPr>
      </w:pPr>
      <w:r w:rsidRPr="00D75767">
        <w:rPr>
          <w:i/>
          <w:sz w:val="16"/>
          <w:szCs w:val="16"/>
        </w:rPr>
        <w:t>(a) Tass</w:t>
      </w:r>
      <w:r w:rsidR="002B1AC0">
        <w:rPr>
          <w:i/>
          <w:sz w:val="16"/>
          <w:szCs w:val="16"/>
        </w:rPr>
        <w:t xml:space="preserve">o standardizzato di mortalità: </w:t>
      </w:r>
      <w:r w:rsidRPr="00D75767">
        <w:rPr>
          <w:i/>
          <w:sz w:val="16"/>
          <w:szCs w:val="16"/>
        </w:rPr>
        <w:t>aggiustamento del tasso di mortalità che permette di confrontare popolazioni che hanno distribuzione per età tra loro diverse. Il metodo di standardizzazione diretto per età è quello più utilizzato e consiste nel sommare i tassi che sono calcolati per ogni specifico gruppo di età su una popolazione di struttura standard in questo caso la Popolazione Italiana al Censimento 2011.</w:t>
      </w:r>
    </w:p>
    <w:p w14:paraId="5BCD7226" w14:textId="77777777" w:rsidR="001C4730" w:rsidRPr="008C18E8" w:rsidRDefault="001C4730" w:rsidP="001C4730">
      <w:pPr>
        <w:rPr>
          <w:rFonts w:ascii="Arial Black" w:hAnsi="Arial Black"/>
          <w:b/>
          <w:bCs/>
          <w:iCs w:val="0"/>
          <w:color w:val="1F3864" w:themeColor="accent5" w:themeShade="80"/>
          <w:sz w:val="10"/>
          <w:szCs w:val="10"/>
        </w:rPr>
      </w:pPr>
    </w:p>
    <w:p w14:paraId="34F67220" w14:textId="77777777" w:rsidR="003C1302" w:rsidRDefault="003C1302" w:rsidP="001C4730">
      <w:pPr>
        <w:rPr>
          <w:b/>
          <w:bCs/>
          <w:color w:val="1F3864" w:themeColor="accent5" w:themeShade="80"/>
          <w:sz w:val="20"/>
          <w:szCs w:val="20"/>
        </w:rPr>
      </w:pPr>
    </w:p>
    <w:p w14:paraId="6D850C04" w14:textId="77777777" w:rsidR="003C1302" w:rsidRDefault="003C1302" w:rsidP="001C4730">
      <w:pPr>
        <w:rPr>
          <w:b/>
          <w:bCs/>
          <w:color w:val="1F3864" w:themeColor="accent5" w:themeShade="80"/>
          <w:sz w:val="20"/>
          <w:szCs w:val="20"/>
        </w:rPr>
      </w:pPr>
    </w:p>
    <w:p w14:paraId="242ADFDA" w14:textId="77777777" w:rsidR="003C1302" w:rsidRDefault="003C1302" w:rsidP="001C4730">
      <w:pPr>
        <w:rPr>
          <w:b/>
          <w:bCs/>
          <w:color w:val="1F3864" w:themeColor="accent5" w:themeShade="80"/>
          <w:sz w:val="20"/>
          <w:szCs w:val="20"/>
        </w:rPr>
      </w:pPr>
    </w:p>
    <w:p w14:paraId="1BDA8557" w14:textId="77777777" w:rsidR="003C1302" w:rsidRDefault="003C1302" w:rsidP="001C4730">
      <w:pPr>
        <w:rPr>
          <w:b/>
          <w:bCs/>
          <w:color w:val="1F3864" w:themeColor="accent5" w:themeShade="80"/>
          <w:sz w:val="20"/>
          <w:szCs w:val="20"/>
        </w:rPr>
      </w:pPr>
    </w:p>
    <w:p w14:paraId="293A1799" w14:textId="77777777" w:rsidR="003C1302" w:rsidRDefault="003C1302" w:rsidP="001C4730">
      <w:pPr>
        <w:rPr>
          <w:b/>
          <w:bCs/>
          <w:color w:val="1F3864" w:themeColor="accent5" w:themeShade="80"/>
          <w:sz w:val="20"/>
          <w:szCs w:val="20"/>
        </w:rPr>
      </w:pPr>
    </w:p>
    <w:p w14:paraId="34A81CE1" w14:textId="77777777" w:rsidR="003C1302" w:rsidRDefault="003C1302" w:rsidP="001C4730">
      <w:pPr>
        <w:rPr>
          <w:b/>
          <w:bCs/>
          <w:color w:val="1F3864" w:themeColor="accent5" w:themeShade="80"/>
          <w:sz w:val="20"/>
          <w:szCs w:val="20"/>
        </w:rPr>
      </w:pPr>
    </w:p>
    <w:p w14:paraId="3068A47A" w14:textId="77777777" w:rsidR="003C1302" w:rsidRDefault="003C1302" w:rsidP="001C4730">
      <w:pPr>
        <w:rPr>
          <w:b/>
          <w:bCs/>
          <w:color w:val="1F3864" w:themeColor="accent5" w:themeShade="80"/>
          <w:sz w:val="20"/>
          <w:szCs w:val="20"/>
        </w:rPr>
      </w:pPr>
    </w:p>
    <w:p w14:paraId="397AB3C3" w14:textId="77777777" w:rsidR="003C1302" w:rsidRDefault="003C1302" w:rsidP="001C4730">
      <w:pPr>
        <w:rPr>
          <w:b/>
          <w:bCs/>
          <w:color w:val="1F3864" w:themeColor="accent5" w:themeShade="80"/>
          <w:sz w:val="20"/>
          <w:szCs w:val="20"/>
        </w:rPr>
      </w:pPr>
    </w:p>
    <w:p w14:paraId="334F18B5" w14:textId="77777777" w:rsidR="003C1302" w:rsidRDefault="003C1302" w:rsidP="001C4730">
      <w:pPr>
        <w:rPr>
          <w:b/>
          <w:bCs/>
          <w:color w:val="1F3864" w:themeColor="accent5" w:themeShade="80"/>
          <w:sz w:val="20"/>
          <w:szCs w:val="20"/>
        </w:rPr>
      </w:pPr>
    </w:p>
    <w:p w14:paraId="7C739B90" w14:textId="77777777" w:rsidR="003C1302" w:rsidRDefault="003C1302" w:rsidP="001C4730">
      <w:pPr>
        <w:rPr>
          <w:b/>
          <w:bCs/>
          <w:color w:val="1F3864" w:themeColor="accent5" w:themeShade="80"/>
          <w:sz w:val="20"/>
          <w:szCs w:val="20"/>
        </w:rPr>
      </w:pPr>
    </w:p>
    <w:p w14:paraId="7A23CBE9" w14:textId="77777777" w:rsidR="003C1302" w:rsidRDefault="003C1302" w:rsidP="001C4730">
      <w:pPr>
        <w:rPr>
          <w:b/>
          <w:bCs/>
          <w:color w:val="1F3864" w:themeColor="accent5" w:themeShade="80"/>
          <w:sz w:val="20"/>
          <w:szCs w:val="20"/>
        </w:rPr>
      </w:pPr>
    </w:p>
    <w:p w14:paraId="4A52995D" w14:textId="77777777" w:rsidR="003C1302" w:rsidRDefault="003C1302" w:rsidP="001C4730">
      <w:pPr>
        <w:rPr>
          <w:b/>
          <w:bCs/>
          <w:color w:val="1F3864" w:themeColor="accent5" w:themeShade="80"/>
          <w:sz w:val="20"/>
          <w:szCs w:val="20"/>
        </w:rPr>
      </w:pPr>
    </w:p>
    <w:p w14:paraId="5DD25807" w14:textId="77777777" w:rsidR="003C1302" w:rsidRDefault="003C1302" w:rsidP="001C4730">
      <w:pPr>
        <w:rPr>
          <w:b/>
          <w:bCs/>
          <w:color w:val="1F3864" w:themeColor="accent5" w:themeShade="80"/>
          <w:sz w:val="20"/>
          <w:szCs w:val="20"/>
        </w:rPr>
      </w:pPr>
    </w:p>
    <w:p w14:paraId="6987FD2D" w14:textId="77777777" w:rsidR="003C1302" w:rsidRDefault="003C1302" w:rsidP="001C4730">
      <w:pPr>
        <w:rPr>
          <w:b/>
          <w:bCs/>
          <w:color w:val="1F3864" w:themeColor="accent5" w:themeShade="80"/>
          <w:sz w:val="20"/>
          <w:szCs w:val="20"/>
        </w:rPr>
      </w:pPr>
    </w:p>
    <w:p w14:paraId="07E9ED27" w14:textId="4DEED097" w:rsidR="001C4730" w:rsidRDefault="001C4730" w:rsidP="001C4730">
      <w:pPr>
        <w:rPr>
          <w:noProof/>
          <w:lang w:eastAsia="it-IT"/>
        </w:rPr>
      </w:pPr>
      <w:r w:rsidRPr="007E60F7">
        <w:rPr>
          <w:b/>
          <w:bCs/>
          <w:color w:val="1F3864" w:themeColor="accent5" w:themeShade="80"/>
          <w:sz w:val="20"/>
          <w:szCs w:val="20"/>
        </w:rPr>
        <w:t xml:space="preserve">Tabella 5. </w:t>
      </w:r>
      <w:r w:rsidRPr="008C18E8">
        <w:rPr>
          <w:b/>
          <w:bCs/>
          <w:color w:val="1F3864" w:themeColor="accent5" w:themeShade="80"/>
          <w:sz w:val="20"/>
          <w:szCs w:val="20"/>
        </w:rPr>
        <w:t xml:space="preserve">Decessi per il complesso delle cause e per Covid-19 nel primo quadrimestre 2020, confronto con la media per lo stesso periodo del 2015-2019, per provincia e classe di diffusione dell’epidemia. </w:t>
      </w:r>
      <w:r w:rsidRPr="008C18E8">
        <w:rPr>
          <w:color w:val="1F3864" w:themeColor="accent5" w:themeShade="80"/>
          <w:sz w:val="20"/>
          <w:szCs w:val="20"/>
        </w:rPr>
        <w:t xml:space="preserve">Province della classe </w:t>
      </w:r>
      <w:r>
        <w:rPr>
          <w:b/>
          <w:bCs/>
          <w:color w:val="1F3864" w:themeColor="accent5" w:themeShade="80"/>
          <w:sz w:val="20"/>
          <w:szCs w:val="20"/>
        </w:rPr>
        <w:t>bassa</w:t>
      </w:r>
      <w:r w:rsidRPr="008C18E8">
        <w:rPr>
          <w:color w:val="1F3864" w:themeColor="accent5" w:themeShade="80"/>
          <w:sz w:val="20"/>
          <w:szCs w:val="20"/>
        </w:rPr>
        <w:t xml:space="preserve"> diffusione</w:t>
      </w:r>
      <w:r w:rsidRPr="001C4730">
        <w:rPr>
          <w:b/>
          <w:color w:val="1F3864" w:themeColor="accent5" w:themeShade="80"/>
          <w:sz w:val="20"/>
          <w:szCs w:val="20"/>
        </w:rPr>
        <w:t>.</w:t>
      </w:r>
    </w:p>
    <w:p w14:paraId="4127DB2A" w14:textId="6BC4266F" w:rsidR="00224EC5" w:rsidRDefault="00C21CD0" w:rsidP="001C4730">
      <w:pPr>
        <w:rPr>
          <w:b/>
          <w:sz w:val="24"/>
          <w:szCs w:val="24"/>
        </w:rPr>
      </w:pPr>
      <w:r w:rsidRPr="00C21CD0">
        <w:rPr>
          <w:noProof/>
          <w:lang w:eastAsia="it-IT"/>
        </w:rPr>
        <w:drawing>
          <wp:inline distT="0" distB="0" distL="0" distR="0" wp14:anchorId="0938E293" wp14:editId="74278A5F">
            <wp:extent cx="6120130" cy="3934655"/>
            <wp:effectExtent l="0" t="0" r="0" b="889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3934655"/>
                    </a:xfrm>
                    <a:prstGeom prst="rect">
                      <a:avLst/>
                    </a:prstGeom>
                    <a:noFill/>
                    <a:ln>
                      <a:noFill/>
                    </a:ln>
                  </pic:spPr>
                </pic:pic>
              </a:graphicData>
            </a:graphic>
          </wp:inline>
        </w:drawing>
      </w:r>
    </w:p>
    <w:p w14:paraId="1A51056D" w14:textId="77777777" w:rsidR="00C21CD0" w:rsidRDefault="00C21CD0" w:rsidP="00C21CD0">
      <w:pPr>
        <w:spacing w:after="0" w:line="240" w:lineRule="auto"/>
        <w:rPr>
          <w:i/>
          <w:sz w:val="16"/>
          <w:szCs w:val="16"/>
        </w:rPr>
      </w:pPr>
      <w:r w:rsidRPr="00D75767">
        <w:rPr>
          <w:i/>
          <w:sz w:val="16"/>
          <w:szCs w:val="16"/>
        </w:rPr>
        <w:t xml:space="preserve">Fonte: Istat. Base dati integrata mortalità giornaliera comunale, </w:t>
      </w:r>
      <w:proofErr w:type="spellStart"/>
      <w:r w:rsidRPr="00D75767">
        <w:rPr>
          <w:i/>
          <w:sz w:val="16"/>
          <w:szCs w:val="16"/>
        </w:rPr>
        <w:t>Iss</w:t>
      </w:r>
      <w:proofErr w:type="spellEnd"/>
      <w:r w:rsidRPr="00D75767">
        <w:rPr>
          <w:i/>
          <w:sz w:val="16"/>
          <w:szCs w:val="16"/>
        </w:rPr>
        <w:t xml:space="preserve"> registro sorveglianza Covid-19</w:t>
      </w:r>
      <w:r>
        <w:rPr>
          <w:i/>
          <w:sz w:val="16"/>
          <w:szCs w:val="16"/>
        </w:rPr>
        <w:t>.</w:t>
      </w:r>
    </w:p>
    <w:p w14:paraId="3149E098" w14:textId="58DB533D" w:rsidR="00C21CD0" w:rsidRDefault="00C21CD0" w:rsidP="00C21CD0">
      <w:pPr>
        <w:spacing w:after="0"/>
        <w:rPr>
          <w:i/>
          <w:sz w:val="16"/>
          <w:szCs w:val="16"/>
        </w:rPr>
      </w:pPr>
      <w:r w:rsidRPr="00D75767">
        <w:rPr>
          <w:i/>
          <w:sz w:val="16"/>
          <w:szCs w:val="16"/>
        </w:rPr>
        <w:t>(a) Tass</w:t>
      </w:r>
      <w:r w:rsidR="002B1AC0">
        <w:rPr>
          <w:i/>
          <w:sz w:val="16"/>
          <w:szCs w:val="16"/>
        </w:rPr>
        <w:t xml:space="preserve">o standardizzato di mortalità: </w:t>
      </w:r>
      <w:r w:rsidRPr="00D75767">
        <w:rPr>
          <w:i/>
          <w:sz w:val="16"/>
          <w:szCs w:val="16"/>
        </w:rPr>
        <w:t>aggiustamento del tasso di mortalità che permette di confrontare popolazioni che hanno distribuzione per età tra loro diverse. Il metodo di standardizzazione diretto per età è quello più utilizzato e consiste nel sommare i tassi che sono calcolati per ogni specifico gruppo di età su una popolazione di struttura standard in questo caso la Popolazione Italiana al Censimento 2011.</w:t>
      </w:r>
    </w:p>
    <w:p w14:paraId="0B9276A4" w14:textId="77777777" w:rsidR="007E60F7" w:rsidRDefault="007E60F7" w:rsidP="001C4730">
      <w:pPr>
        <w:spacing w:line="240" w:lineRule="auto"/>
      </w:pPr>
    </w:p>
    <w:p w14:paraId="38263989" w14:textId="019A6C50" w:rsidR="001C4730" w:rsidRDefault="001C4730" w:rsidP="001C4730">
      <w:pPr>
        <w:spacing w:line="240" w:lineRule="auto"/>
      </w:pPr>
      <w:r>
        <w:t xml:space="preserve">Anche considerando le </w:t>
      </w:r>
      <w:r w:rsidRPr="00176E62">
        <w:t xml:space="preserve">province a bassa diffusione, </w:t>
      </w:r>
      <w:r>
        <w:t xml:space="preserve">in alcuni casi si osservano </w:t>
      </w:r>
      <w:r w:rsidRPr="00176E62">
        <w:t>incrementi della mortali</w:t>
      </w:r>
      <w:r>
        <w:t xml:space="preserve">tà complessiva </w:t>
      </w:r>
      <w:r w:rsidR="001B2338">
        <w:t xml:space="preserve">in </w:t>
      </w:r>
      <w:r>
        <w:t>aprile 2020 non riscontrati a marzo. Si segnala l’aumento del 20% dei decessi di Crotone rispetto alla media 2015-2019 e quello del 21% di Siracusa (Tabella 5</w:t>
      </w:r>
      <w:r w:rsidRPr="00176E62">
        <w:t>).</w:t>
      </w:r>
    </w:p>
    <w:p w14:paraId="7BCC724A" w14:textId="10DBEFC9" w:rsidR="003601D7" w:rsidRDefault="00C64B5C" w:rsidP="00224EC5">
      <w:pPr>
        <w:rPr>
          <w:rFonts w:ascii="Arial Narrow" w:hAnsi="Arial Narrow"/>
          <w:b/>
          <w:bCs/>
          <w:iCs w:val="0"/>
          <w:color w:val="1F3864" w:themeColor="accent5" w:themeShade="80"/>
          <w:sz w:val="32"/>
          <w:szCs w:val="32"/>
        </w:rPr>
      </w:pPr>
      <w:r>
        <w:t xml:space="preserve">L’analisi dei </w:t>
      </w:r>
      <w:r w:rsidR="001C2FEF">
        <w:t xml:space="preserve">tassi </w:t>
      </w:r>
      <w:r>
        <w:t xml:space="preserve">provinciali </w:t>
      </w:r>
      <w:r w:rsidR="001C2FEF">
        <w:t xml:space="preserve">di mortalità </w:t>
      </w:r>
      <w:r>
        <w:t xml:space="preserve">Covid-19 </w:t>
      </w:r>
      <w:r w:rsidR="001C2FEF">
        <w:t xml:space="preserve">standardizzati </w:t>
      </w:r>
      <w:r>
        <w:t>riportati nelle tabelle 3-5</w:t>
      </w:r>
      <w:r w:rsidR="008D7E79">
        <w:t>,</w:t>
      </w:r>
      <w:r>
        <w:t xml:space="preserve"> in cui le province sono classificate per classi di diffusione (alta, media e bassa) dell’</w:t>
      </w:r>
      <w:r w:rsidR="00996E48">
        <w:t>epidemia sulla ba</w:t>
      </w:r>
      <w:r>
        <w:t xml:space="preserve">se dei tassi di incidenza </w:t>
      </w:r>
      <w:r w:rsidR="001C2FEF">
        <w:t xml:space="preserve">standardizzati dei casi diagnosticati di Covid-19, </w:t>
      </w:r>
      <w:r>
        <w:t xml:space="preserve">mostra </w:t>
      </w:r>
      <w:r w:rsidR="001C2FEF">
        <w:t xml:space="preserve">generalmente una corrispondenza </w:t>
      </w:r>
      <w:r>
        <w:t>tra livello di mortalità Covid-19</w:t>
      </w:r>
      <w:r w:rsidR="0099423C">
        <w:t xml:space="preserve"> e classe di diffusione dell’epidemia</w:t>
      </w:r>
      <w:r>
        <w:t>. Ci</w:t>
      </w:r>
      <w:r w:rsidR="001C2FEF">
        <w:t xml:space="preserve"> sono alcun</w:t>
      </w:r>
      <w:r w:rsidR="00996E48">
        <w:t>e</w:t>
      </w:r>
      <w:r w:rsidR="001C2FEF">
        <w:t xml:space="preserve"> province, </w:t>
      </w:r>
      <w:r>
        <w:t xml:space="preserve">tuttavia, </w:t>
      </w:r>
      <w:r w:rsidR="00107CEC" w:rsidRPr="00107CEC">
        <w:t>per le quali tale considerazione non sembra valida. Ad esempio, la provincia di Padova, nella classe di diffusione "alta", ha un tasso di mortalità standardizzato di decessi Covid-19 che è più simile</w:t>
      </w:r>
      <w:r w:rsidR="00107CEC">
        <w:t>, se non più b</w:t>
      </w:r>
      <w:r w:rsidR="00372F01">
        <w:t>asso, di</w:t>
      </w:r>
      <w:r w:rsidR="00107CEC">
        <w:t xml:space="preserve"> quello</w:t>
      </w:r>
      <w:r w:rsidR="00107CEC" w:rsidRPr="00107CEC">
        <w:t xml:space="preserve"> di alcune province classificate come </w:t>
      </w:r>
      <w:r w:rsidR="00372F01">
        <w:t>diffusione "media"; all’opposto</w:t>
      </w:r>
      <w:r w:rsidR="00107CEC" w:rsidRPr="00107CEC">
        <w:t>, la provincia di Genova, classificata come diffusione "media"</w:t>
      </w:r>
      <w:r w:rsidR="00107CEC">
        <w:t>,</w:t>
      </w:r>
      <w:r w:rsidR="00107CEC" w:rsidRPr="00107CEC">
        <w:t xml:space="preserve"> </w:t>
      </w:r>
      <w:r w:rsidR="00372F01">
        <w:t xml:space="preserve">ha una mortalità standardizzata simile a quella di </w:t>
      </w:r>
      <w:r w:rsidR="00107CEC" w:rsidRPr="00107CEC">
        <w:t>diverse province classificate come "alta" diffusione</w:t>
      </w:r>
      <w:r w:rsidR="00107CEC">
        <w:t xml:space="preserve">. </w:t>
      </w:r>
      <w:r w:rsidR="00107CEC" w:rsidRPr="00107CEC">
        <w:t xml:space="preserve"> </w:t>
      </w:r>
      <w:r w:rsidR="00353F11">
        <w:t xml:space="preserve">Più in generale le </w:t>
      </w:r>
      <w:r w:rsidR="001909CB">
        <w:t xml:space="preserve">differenze </w:t>
      </w:r>
      <w:r w:rsidR="00353F11">
        <w:t xml:space="preserve">provinciali </w:t>
      </w:r>
      <w:r w:rsidR="001909CB">
        <w:t xml:space="preserve">tra </w:t>
      </w:r>
      <w:r w:rsidR="00353F11">
        <w:t xml:space="preserve">i livelli dei tassi standardizzati di mortalità di casi Covid-19, a parità di classe di diffusione dell’epidemia, </w:t>
      </w:r>
      <w:r w:rsidR="001909CB">
        <w:t xml:space="preserve">possono dipendere da diversi fattori: </w:t>
      </w:r>
      <w:r w:rsidR="001C2FEF">
        <w:t xml:space="preserve">la diversa </w:t>
      </w:r>
      <w:r w:rsidR="001909CB">
        <w:t xml:space="preserve">strategia </w:t>
      </w:r>
      <w:r w:rsidR="00996E48">
        <w:t xml:space="preserve">nell’effettuare </w:t>
      </w:r>
      <w:r w:rsidR="00107CEC">
        <w:t xml:space="preserve">la </w:t>
      </w:r>
      <w:r w:rsidR="00107CEC" w:rsidRPr="00107CEC">
        <w:t>diagnosi microbiologica</w:t>
      </w:r>
      <w:r w:rsidR="001C2FEF">
        <w:t xml:space="preserve"> e</w:t>
      </w:r>
      <w:r w:rsidR="001909CB">
        <w:t>stensivamente o meno alla popolazione</w:t>
      </w:r>
      <w:r w:rsidR="00996E48">
        <w:t xml:space="preserve">, </w:t>
      </w:r>
      <w:r w:rsidR="00107CEC">
        <w:t xml:space="preserve">così come </w:t>
      </w:r>
      <w:r w:rsidR="00996E48">
        <w:t xml:space="preserve">la concentrazione </w:t>
      </w:r>
      <w:r w:rsidR="001C2FEF">
        <w:t xml:space="preserve">eterogenea </w:t>
      </w:r>
      <w:r w:rsidR="00996E48">
        <w:t xml:space="preserve">dell’epidemia </w:t>
      </w:r>
      <w:r w:rsidR="00107CEC">
        <w:t>in classi di età ad alta mortalità.</w:t>
      </w:r>
    </w:p>
    <w:p w14:paraId="1F5868BF" w14:textId="77777777" w:rsidR="002B1AC0" w:rsidRDefault="002B1AC0" w:rsidP="00224EC5">
      <w:pPr>
        <w:rPr>
          <w:rFonts w:ascii="Arial Narrow" w:hAnsi="Arial Narrow"/>
          <w:b/>
          <w:bCs/>
          <w:iCs w:val="0"/>
          <w:color w:val="1F3864" w:themeColor="accent5" w:themeShade="80"/>
          <w:sz w:val="32"/>
          <w:szCs w:val="32"/>
        </w:rPr>
      </w:pPr>
    </w:p>
    <w:p w14:paraId="09C345AD" w14:textId="5733DDAF" w:rsidR="00224EC5" w:rsidRPr="00A072C3" w:rsidRDefault="00224EC5" w:rsidP="00224EC5">
      <w:pPr>
        <w:rPr>
          <w:rFonts w:ascii="Arial Narrow" w:hAnsi="Arial Narrow"/>
          <w:b/>
          <w:bCs/>
          <w:iCs w:val="0"/>
          <w:color w:val="1F3864" w:themeColor="accent5" w:themeShade="80"/>
          <w:sz w:val="32"/>
          <w:szCs w:val="32"/>
        </w:rPr>
      </w:pPr>
      <w:r w:rsidRPr="00A072C3">
        <w:rPr>
          <w:rFonts w:ascii="Arial Narrow" w:hAnsi="Arial Narrow"/>
          <w:b/>
          <w:bCs/>
          <w:iCs w:val="0"/>
          <w:color w:val="1F3864" w:themeColor="accent5" w:themeShade="80"/>
          <w:sz w:val="32"/>
          <w:szCs w:val="32"/>
        </w:rPr>
        <w:t>L’eccesso di mortalità per età e genere</w:t>
      </w:r>
    </w:p>
    <w:p w14:paraId="210DCF80" w14:textId="6F341819" w:rsidR="00142C69" w:rsidRPr="00176E62" w:rsidRDefault="001C4730" w:rsidP="00142C69">
      <w:pPr>
        <w:spacing w:line="240" w:lineRule="auto"/>
      </w:pPr>
      <w:r w:rsidRPr="00176E62">
        <w:t xml:space="preserve">Lo scostamento della mortalità dall’andamento precedente al periodo in cui è iniziata l’emergenza è ben evidenziato per grandi classi di età e genere dai grafici successivi </w:t>
      </w:r>
      <w:r w:rsidR="005F39A8">
        <w:t xml:space="preserve">riferiti all’area ad alta diffusione dell’epidemia </w:t>
      </w:r>
      <w:r w:rsidRPr="00176E62">
        <w:t xml:space="preserve">(Figura 3). L’evoluzione giornaliera degli scostamenti dei decessi cumulati del 2020 dalla corrispondente media 2015-2019 mostra chiaramente come la crescita dei decessi si sia innescata tra la fine di febbraio e i primi giorni di marzo. Durante il mese di marzo nelle aree </w:t>
      </w:r>
      <w:r>
        <w:t xml:space="preserve">più </w:t>
      </w:r>
      <w:r w:rsidRPr="00176E62">
        <w:t xml:space="preserve">interessate dall’epidemia il numero di morti inizia rapidamente ad aumentare rispetto alla media 2015-2019 dello stesso periodo. </w:t>
      </w:r>
      <w:r w:rsidR="00142C69" w:rsidRPr="00176E62">
        <w:t xml:space="preserve">L’eccesso di mortalità registrato </w:t>
      </w:r>
      <w:r w:rsidR="00142C69">
        <w:t xml:space="preserve">nei mesi di </w:t>
      </w:r>
      <w:r w:rsidR="00142C69" w:rsidRPr="00176E62">
        <w:t xml:space="preserve">marzo </w:t>
      </w:r>
      <w:r w:rsidR="00142C69">
        <w:t xml:space="preserve">e aprile </w:t>
      </w:r>
      <w:r w:rsidR="00142C69" w:rsidRPr="00176E62">
        <w:t xml:space="preserve">2020 è ancora più accentuato negli uomini. </w:t>
      </w:r>
    </w:p>
    <w:p w14:paraId="093E40EC" w14:textId="77777777" w:rsidR="001C4730" w:rsidRPr="008C18E8" w:rsidRDefault="001C4730" w:rsidP="001C4730">
      <w:pPr>
        <w:rPr>
          <w:rFonts w:ascii="Arial Black" w:hAnsi="Arial Black"/>
          <w:b/>
          <w:bCs/>
          <w:iCs w:val="0"/>
          <w:color w:val="1F3864" w:themeColor="accent5" w:themeShade="80"/>
          <w:sz w:val="10"/>
          <w:szCs w:val="10"/>
        </w:rPr>
      </w:pPr>
    </w:p>
    <w:p w14:paraId="344D4140" w14:textId="77777777" w:rsidR="001C4730" w:rsidRPr="008C18E8" w:rsidRDefault="001C4730" w:rsidP="001C4730">
      <w:pPr>
        <w:spacing w:line="240" w:lineRule="auto"/>
        <w:rPr>
          <w:color w:val="1F3864" w:themeColor="accent5" w:themeShade="80"/>
          <w:sz w:val="20"/>
          <w:szCs w:val="20"/>
        </w:rPr>
      </w:pPr>
      <w:r w:rsidRPr="007E60F7">
        <w:rPr>
          <w:b/>
          <w:bCs/>
          <w:iCs w:val="0"/>
          <w:color w:val="1F3864" w:themeColor="accent5" w:themeShade="80"/>
          <w:sz w:val="20"/>
          <w:szCs w:val="20"/>
        </w:rPr>
        <w:t>Figura 3.</w:t>
      </w:r>
      <w:r w:rsidRPr="007E60F7">
        <w:rPr>
          <w:sz w:val="20"/>
          <w:szCs w:val="20"/>
        </w:rPr>
        <w:t xml:space="preserve"> </w:t>
      </w:r>
      <w:r w:rsidRPr="007E60F7">
        <w:rPr>
          <w:b/>
          <w:bCs/>
          <w:color w:val="1F3864" w:themeColor="accent5" w:themeShade="80"/>
          <w:sz w:val="20"/>
          <w:szCs w:val="20"/>
        </w:rPr>
        <w:t>Decessi</w:t>
      </w:r>
      <w:r w:rsidRPr="008C18E8">
        <w:rPr>
          <w:b/>
          <w:bCs/>
          <w:color w:val="1F3864" w:themeColor="accent5" w:themeShade="80"/>
          <w:sz w:val="20"/>
          <w:szCs w:val="20"/>
        </w:rPr>
        <w:t xml:space="preserve"> maschili cumulati a partire dal primo gennaio per classe di età. </w:t>
      </w:r>
      <w:r w:rsidRPr="008C18E8">
        <w:rPr>
          <w:color w:val="1F3864" w:themeColor="accent5" w:themeShade="80"/>
          <w:sz w:val="20"/>
          <w:szCs w:val="20"/>
        </w:rPr>
        <w:t xml:space="preserve">Per 100 decessi della stessa classe di età in base alla media 2015-2019. Province con </w:t>
      </w:r>
      <w:r w:rsidRPr="008C18E8">
        <w:rPr>
          <w:b/>
          <w:bCs/>
          <w:color w:val="1F3864" w:themeColor="accent5" w:themeShade="80"/>
          <w:sz w:val="20"/>
          <w:szCs w:val="20"/>
        </w:rPr>
        <w:t>alto</w:t>
      </w:r>
      <w:r w:rsidRPr="008C18E8">
        <w:rPr>
          <w:color w:val="1F3864" w:themeColor="accent5" w:themeShade="80"/>
          <w:sz w:val="20"/>
          <w:szCs w:val="20"/>
        </w:rPr>
        <w:t xml:space="preserve"> livello di diffusione Covid-19. Periodo: 20/02/2020-30/04/2020</w:t>
      </w:r>
    </w:p>
    <w:p w14:paraId="6B67EC4D" w14:textId="178BFFCF" w:rsidR="00224EC5" w:rsidRDefault="00C51086" w:rsidP="00224EC5">
      <w:pPr>
        <w:rPr>
          <w:sz w:val="24"/>
          <w:szCs w:val="24"/>
        </w:rPr>
      </w:pPr>
      <w:r>
        <w:rPr>
          <w:noProof/>
          <w:lang w:eastAsia="it-IT"/>
        </w:rPr>
        <w:drawing>
          <wp:inline distT="0" distB="0" distL="0" distR="0" wp14:anchorId="70E15886" wp14:editId="17CB05A8">
            <wp:extent cx="6120130" cy="2719705"/>
            <wp:effectExtent l="0" t="0" r="13970" b="4445"/>
            <wp:docPr id="5" name="Grafico 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CE144AE" w14:textId="77777777" w:rsidR="00224EC5" w:rsidRPr="001C4730" w:rsidRDefault="00224EC5" w:rsidP="00915829">
      <w:pPr>
        <w:spacing w:before="60" w:after="0" w:line="240" w:lineRule="auto"/>
        <w:rPr>
          <w:i/>
          <w:sz w:val="16"/>
          <w:szCs w:val="16"/>
        </w:rPr>
      </w:pPr>
      <w:r w:rsidRPr="001C4730">
        <w:rPr>
          <w:i/>
          <w:sz w:val="16"/>
          <w:szCs w:val="16"/>
        </w:rPr>
        <w:t>Fonte: Istat. Base dati integrata mortalità giornaliera comunale</w:t>
      </w:r>
    </w:p>
    <w:p w14:paraId="3BDE629D" w14:textId="77777777" w:rsidR="00DA701F" w:rsidRDefault="00DA701F" w:rsidP="00224EC5"/>
    <w:p w14:paraId="64B6BAC0" w14:textId="77777777" w:rsidR="001C4730" w:rsidRDefault="001C4730" w:rsidP="001C4730">
      <w:pPr>
        <w:spacing w:after="120" w:line="240" w:lineRule="auto"/>
      </w:pPr>
      <w:r w:rsidRPr="00DA701F">
        <w:t>L’eccesso di mortalità più consistente si riscontra per gli uomini</w:t>
      </w:r>
      <w:r>
        <w:t xml:space="preserve"> di 70-79 e di 80-89 anni, </w:t>
      </w:r>
      <w:r w:rsidRPr="00DA701F">
        <w:t>per i quali i decessi cumula</w:t>
      </w:r>
      <w:r>
        <w:t>ti dal primo gennaio al 30 aprile 2020 aumentano di oltre 52</w:t>
      </w:r>
      <w:r w:rsidRPr="00DA701F">
        <w:t xml:space="preserve"> punti percentuali rispetto allo stesso periodo della media 2015-2019</w:t>
      </w:r>
      <w:r>
        <w:t>; segue la classe di età 90 e più con un incremento del 48%. Per gli uomini più giovani (50-59 anni) l’eccesso di mortalità è del 26%.</w:t>
      </w:r>
    </w:p>
    <w:p w14:paraId="51273CFA" w14:textId="77777777" w:rsidR="001C4730" w:rsidRDefault="001C4730" w:rsidP="001C4730">
      <w:pPr>
        <w:spacing w:after="120" w:line="240" w:lineRule="auto"/>
      </w:pPr>
      <w:r w:rsidRPr="00DA701F">
        <w:t xml:space="preserve">L’incremento della mortalità nelle donne è invece più contenuto per tutte le classi di età; raggiunge </w:t>
      </w:r>
      <w:r>
        <w:t>alla fine di aprile</w:t>
      </w:r>
      <w:r w:rsidRPr="00DA701F">
        <w:t xml:space="preserve"> </w:t>
      </w:r>
      <w:r>
        <w:t>il 42</w:t>
      </w:r>
      <w:r w:rsidRPr="00DA701F">
        <w:t xml:space="preserve">% in più della media degli anni 2015-2019 per la classe di età </w:t>
      </w:r>
      <w:r>
        <w:t>90 e più, che risulta la più colpita dall’eccesso di mortalità</w:t>
      </w:r>
      <w:r w:rsidRPr="00DA701F">
        <w:t>.</w:t>
      </w:r>
      <w:r w:rsidRPr="00176E62">
        <w:t xml:space="preserve"> </w:t>
      </w:r>
      <w:r>
        <w:t>Segue la classe 80-89 anni, con un incremento del 35% e la 70-79 (31%). Per le donne più giovani (50-59 anni) i decessi sono aumentati del 12%.</w:t>
      </w:r>
    </w:p>
    <w:p w14:paraId="695B2BDE" w14:textId="77777777" w:rsidR="001C4730" w:rsidRPr="008C18E8" w:rsidRDefault="001C4730" w:rsidP="001C4730">
      <w:pPr>
        <w:spacing w:after="120" w:line="240" w:lineRule="auto"/>
        <w:rPr>
          <w:sz w:val="10"/>
          <w:szCs w:val="10"/>
        </w:rPr>
      </w:pPr>
    </w:p>
    <w:p w14:paraId="1DB4078E" w14:textId="77777777" w:rsidR="003601D7" w:rsidRDefault="003601D7" w:rsidP="001C4730">
      <w:pPr>
        <w:spacing w:line="240" w:lineRule="auto"/>
        <w:rPr>
          <w:b/>
          <w:bCs/>
          <w:color w:val="1F3864" w:themeColor="accent5" w:themeShade="80"/>
          <w:sz w:val="20"/>
          <w:szCs w:val="20"/>
        </w:rPr>
      </w:pPr>
    </w:p>
    <w:p w14:paraId="48C28B2C" w14:textId="77777777" w:rsidR="003601D7" w:rsidRDefault="003601D7" w:rsidP="001C4730">
      <w:pPr>
        <w:spacing w:line="240" w:lineRule="auto"/>
        <w:rPr>
          <w:b/>
          <w:bCs/>
          <w:color w:val="1F3864" w:themeColor="accent5" w:themeShade="80"/>
          <w:sz w:val="20"/>
          <w:szCs w:val="20"/>
        </w:rPr>
      </w:pPr>
    </w:p>
    <w:p w14:paraId="753F59D5" w14:textId="77777777" w:rsidR="003601D7" w:rsidRDefault="003601D7" w:rsidP="001C4730">
      <w:pPr>
        <w:spacing w:line="240" w:lineRule="auto"/>
        <w:rPr>
          <w:b/>
          <w:bCs/>
          <w:color w:val="1F3864" w:themeColor="accent5" w:themeShade="80"/>
          <w:sz w:val="20"/>
          <w:szCs w:val="20"/>
        </w:rPr>
      </w:pPr>
    </w:p>
    <w:p w14:paraId="29DE265C" w14:textId="77777777" w:rsidR="00142C69" w:rsidRDefault="00142C69" w:rsidP="001C4730">
      <w:pPr>
        <w:spacing w:line="240" w:lineRule="auto"/>
        <w:rPr>
          <w:b/>
          <w:bCs/>
          <w:color w:val="1F3864" w:themeColor="accent5" w:themeShade="80"/>
          <w:sz w:val="20"/>
          <w:szCs w:val="20"/>
        </w:rPr>
      </w:pPr>
    </w:p>
    <w:p w14:paraId="4A726E7D" w14:textId="77777777" w:rsidR="00142C69" w:rsidRDefault="00142C69" w:rsidP="001C4730">
      <w:pPr>
        <w:spacing w:line="240" w:lineRule="auto"/>
        <w:rPr>
          <w:b/>
          <w:bCs/>
          <w:color w:val="1F3864" w:themeColor="accent5" w:themeShade="80"/>
          <w:sz w:val="20"/>
          <w:szCs w:val="20"/>
        </w:rPr>
      </w:pPr>
    </w:p>
    <w:p w14:paraId="0896BF0E" w14:textId="77777777" w:rsidR="003601D7" w:rsidRDefault="003601D7" w:rsidP="001C4730">
      <w:pPr>
        <w:spacing w:line="240" w:lineRule="auto"/>
        <w:rPr>
          <w:b/>
          <w:bCs/>
          <w:color w:val="1F3864" w:themeColor="accent5" w:themeShade="80"/>
          <w:sz w:val="20"/>
          <w:szCs w:val="20"/>
        </w:rPr>
      </w:pPr>
    </w:p>
    <w:p w14:paraId="69AED6D0" w14:textId="16C116DC" w:rsidR="001C4730" w:rsidRPr="008C18E8" w:rsidRDefault="001C4730" w:rsidP="001C4730">
      <w:pPr>
        <w:spacing w:line="240" w:lineRule="auto"/>
        <w:rPr>
          <w:color w:val="1F3864" w:themeColor="accent5" w:themeShade="80"/>
          <w:sz w:val="20"/>
          <w:szCs w:val="20"/>
        </w:rPr>
      </w:pPr>
      <w:r w:rsidRPr="007E60F7">
        <w:rPr>
          <w:b/>
          <w:bCs/>
          <w:color w:val="1F3864" w:themeColor="accent5" w:themeShade="80"/>
          <w:sz w:val="20"/>
          <w:szCs w:val="20"/>
        </w:rPr>
        <w:t>Figura 3 (segue).</w:t>
      </w:r>
      <w:r w:rsidRPr="008C18E8">
        <w:rPr>
          <w:b/>
          <w:sz w:val="20"/>
          <w:szCs w:val="20"/>
        </w:rPr>
        <w:t xml:space="preserve"> </w:t>
      </w:r>
      <w:r w:rsidRPr="008C18E8">
        <w:rPr>
          <w:b/>
          <w:bCs/>
          <w:color w:val="1F3864" w:themeColor="accent5" w:themeShade="80"/>
          <w:sz w:val="20"/>
          <w:szCs w:val="20"/>
        </w:rPr>
        <w:t xml:space="preserve">Decessi femminili cumulati a partire dal primo gennaio per classe di età. </w:t>
      </w:r>
      <w:r w:rsidRPr="008C18E8">
        <w:rPr>
          <w:color w:val="1F3864" w:themeColor="accent5" w:themeShade="80"/>
          <w:sz w:val="20"/>
          <w:szCs w:val="20"/>
        </w:rPr>
        <w:t xml:space="preserve">Per 100 decessi della stessa classe di età in base alla media 2015-2019. Province con </w:t>
      </w:r>
      <w:r w:rsidRPr="008C18E8">
        <w:rPr>
          <w:b/>
          <w:bCs/>
          <w:color w:val="1F3864" w:themeColor="accent5" w:themeShade="80"/>
          <w:sz w:val="20"/>
          <w:szCs w:val="20"/>
        </w:rPr>
        <w:t>alto</w:t>
      </w:r>
      <w:r w:rsidRPr="008C18E8">
        <w:rPr>
          <w:color w:val="1F3864" w:themeColor="accent5" w:themeShade="80"/>
          <w:sz w:val="20"/>
          <w:szCs w:val="20"/>
        </w:rPr>
        <w:t xml:space="preserve"> livello di diffusione Covid-19. Periodo: 20/02/2020-30/04/2020</w:t>
      </w:r>
    </w:p>
    <w:p w14:paraId="34CDE851" w14:textId="29FAAA33" w:rsidR="00224EC5" w:rsidRDefault="00C51086" w:rsidP="00224EC5">
      <w:pPr>
        <w:rPr>
          <w:color w:val="1F3864" w:themeColor="accent5" w:themeShade="80"/>
          <w:sz w:val="23"/>
          <w:szCs w:val="23"/>
        </w:rPr>
      </w:pPr>
      <w:r>
        <w:rPr>
          <w:noProof/>
          <w:lang w:eastAsia="it-IT"/>
        </w:rPr>
        <w:drawing>
          <wp:inline distT="0" distB="0" distL="0" distR="0" wp14:anchorId="106029D1" wp14:editId="093F0CC6">
            <wp:extent cx="6120130" cy="2719705"/>
            <wp:effectExtent l="0" t="0" r="13970" b="4445"/>
            <wp:docPr id="9" name="Grafico 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7AC95E8" w14:textId="77777777" w:rsidR="00224EC5" w:rsidRPr="001C4730" w:rsidRDefault="00224EC5" w:rsidP="00915829">
      <w:pPr>
        <w:spacing w:before="60" w:after="0" w:line="240" w:lineRule="auto"/>
        <w:rPr>
          <w:i/>
          <w:sz w:val="16"/>
          <w:szCs w:val="16"/>
        </w:rPr>
      </w:pPr>
      <w:r w:rsidRPr="001C4730">
        <w:rPr>
          <w:i/>
          <w:sz w:val="16"/>
          <w:szCs w:val="16"/>
        </w:rPr>
        <w:t>Fonte: Istat. Base dati integrata mortalità giornaliera comunale</w:t>
      </w:r>
    </w:p>
    <w:p w14:paraId="481B71AB" w14:textId="77777777" w:rsidR="00DA701F" w:rsidRPr="000B18A6" w:rsidRDefault="00DA701F" w:rsidP="00224EC5">
      <w:pPr>
        <w:rPr>
          <w:sz w:val="14"/>
          <w:szCs w:val="14"/>
        </w:rPr>
      </w:pPr>
    </w:p>
    <w:p w14:paraId="5C09624E" w14:textId="77777777" w:rsidR="001C4730" w:rsidRPr="00D83F45" w:rsidRDefault="001C4730" w:rsidP="001C4730">
      <w:pPr>
        <w:spacing w:after="120" w:line="240" w:lineRule="auto"/>
      </w:pPr>
      <w:r w:rsidRPr="00D83F45">
        <w:t>Passando dalle aree più colpite da Covid-19 a quelle in cui la diffusione è stata caratterizzata da minore intensità</w:t>
      </w:r>
      <w:r>
        <w:t>,</w:t>
      </w:r>
      <w:r w:rsidRPr="00D83F45">
        <w:t xml:space="preserve"> l’eccesso di mortalità si sposta in avanti nel tempo e si riduce.</w:t>
      </w:r>
    </w:p>
    <w:p w14:paraId="6F0D31E2" w14:textId="77777777" w:rsidR="001C4730" w:rsidRDefault="001C4730" w:rsidP="001C4730">
      <w:pPr>
        <w:spacing w:after="120" w:line="240" w:lineRule="auto"/>
      </w:pPr>
      <w:r w:rsidRPr="00D83F45">
        <w:t xml:space="preserve">Le </w:t>
      </w:r>
      <w:r>
        <w:t>F</w:t>
      </w:r>
      <w:r w:rsidRPr="00D83F45">
        <w:t>igure 4 e 5 si riferiscono, rispettivamente, alle classi di età in corrispondenza di province a media e bassa diffusione dell’epidemia. A causa dell’entità più contenuta del fenomeno, i decessi cumulati sono considerati per maschi e femmine nel complesso.</w:t>
      </w:r>
    </w:p>
    <w:p w14:paraId="683FAC5A" w14:textId="77777777" w:rsidR="001C4730" w:rsidRPr="008C18E8" w:rsidRDefault="001C4730" w:rsidP="001C4730">
      <w:pPr>
        <w:spacing w:after="120" w:line="240" w:lineRule="auto"/>
        <w:rPr>
          <w:sz w:val="6"/>
          <w:szCs w:val="6"/>
        </w:rPr>
      </w:pPr>
    </w:p>
    <w:p w14:paraId="2FAB1CCF" w14:textId="6DC3DF45" w:rsidR="00224EC5" w:rsidRPr="00614A21" w:rsidRDefault="001C4730" w:rsidP="001C4730">
      <w:pPr>
        <w:rPr>
          <w:color w:val="1F3864" w:themeColor="accent5" w:themeShade="80"/>
        </w:rPr>
      </w:pPr>
      <w:r w:rsidRPr="007E60F7">
        <w:rPr>
          <w:b/>
          <w:bCs/>
          <w:color w:val="1F3864" w:themeColor="accent5" w:themeShade="80"/>
          <w:sz w:val="20"/>
          <w:szCs w:val="20"/>
        </w:rPr>
        <w:t xml:space="preserve">Figura 4. </w:t>
      </w:r>
      <w:r w:rsidRPr="008C18E8">
        <w:rPr>
          <w:b/>
          <w:bCs/>
          <w:color w:val="1F3864" w:themeColor="accent5" w:themeShade="80"/>
          <w:sz w:val="20"/>
          <w:szCs w:val="20"/>
        </w:rPr>
        <w:t xml:space="preserve">Decessi cumulati a partire dal primo gennaio per classe di età. </w:t>
      </w:r>
      <w:r w:rsidRPr="008C18E8">
        <w:rPr>
          <w:color w:val="1F3864" w:themeColor="accent5" w:themeShade="80"/>
          <w:sz w:val="20"/>
          <w:szCs w:val="20"/>
        </w:rPr>
        <w:t xml:space="preserve">Per 100 decessi della stessa classe di età della media 2015-2019. Province con </w:t>
      </w:r>
      <w:r w:rsidRPr="008C18E8">
        <w:rPr>
          <w:b/>
          <w:bCs/>
          <w:color w:val="1F3864" w:themeColor="accent5" w:themeShade="80"/>
          <w:sz w:val="20"/>
          <w:szCs w:val="20"/>
        </w:rPr>
        <w:t>medio</w:t>
      </w:r>
      <w:r w:rsidRPr="008C18E8">
        <w:rPr>
          <w:color w:val="1F3864" w:themeColor="accent5" w:themeShade="80"/>
          <w:sz w:val="20"/>
          <w:szCs w:val="20"/>
        </w:rPr>
        <w:t xml:space="preserve"> livello di diffusione Covid-19. Periodo: 20/02/2020-31/03/2020</w:t>
      </w:r>
    </w:p>
    <w:p w14:paraId="527D0C89" w14:textId="06ED9FA8" w:rsidR="00224EC5" w:rsidRDefault="000B18A6" w:rsidP="00224EC5">
      <w:pPr>
        <w:rPr>
          <w:b/>
          <w:sz w:val="24"/>
          <w:szCs w:val="24"/>
        </w:rPr>
      </w:pPr>
      <w:r>
        <w:rPr>
          <w:noProof/>
          <w:lang w:eastAsia="it-IT"/>
        </w:rPr>
        <w:drawing>
          <wp:inline distT="0" distB="0" distL="0" distR="0" wp14:anchorId="65129485" wp14:editId="11D2810D">
            <wp:extent cx="6120130" cy="2719705"/>
            <wp:effectExtent l="0" t="0" r="13970" b="4445"/>
            <wp:docPr id="10" name="Grafico 1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256CDB8" w14:textId="4D97FDAC" w:rsidR="00224EC5" w:rsidRPr="001C4730" w:rsidRDefault="00224EC5" w:rsidP="00915829">
      <w:pPr>
        <w:spacing w:before="60" w:after="0" w:line="240" w:lineRule="auto"/>
        <w:rPr>
          <w:i/>
          <w:sz w:val="16"/>
          <w:szCs w:val="16"/>
        </w:rPr>
      </w:pPr>
      <w:r w:rsidRPr="001C4730">
        <w:rPr>
          <w:i/>
          <w:sz w:val="16"/>
          <w:szCs w:val="16"/>
        </w:rPr>
        <w:t>Fonte: Istat. Base dati integrata mortalità giornaliera comunale</w:t>
      </w:r>
    </w:p>
    <w:p w14:paraId="5AEB9948" w14:textId="28C595DD" w:rsidR="002E450D" w:rsidRDefault="002E450D" w:rsidP="00915829">
      <w:pPr>
        <w:spacing w:before="60" w:after="0" w:line="240" w:lineRule="auto"/>
        <w:rPr>
          <w:sz w:val="16"/>
          <w:szCs w:val="16"/>
        </w:rPr>
      </w:pPr>
    </w:p>
    <w:p w14:paraId="3F130C03" w14:textId="77777777" w:rsidR="002E450D" w:rsidRPr="00915829" w:rsidRDefault="002E450D" w:rsidP="00915829">
      <w:pPr>
        <w:spacing w:before="60" w:after="0" w:line="240" w:lineRule="auto"/>
        <w:rPr>
          <w:sz w:val="16"/>
          <w:szCs w:val="16"/>
        </w:rPr>
      </w:pPr>
    </w:p>
    <w:p w14:paraId="501B4C11" w14:textId="2FAB9C12" w:rsidR="001C4730" w:rsidRDefault="001C4730" w:rsidP="001C4730">
      <w:pPr>
        <w:spacing w:line="240" w:lineRule="auto"/>
      </w:pPr>
      <w:r w:rsidRPr="002E450D">
        <w:t>Nelle province a media diffusione dell’epidemia si è verificato uno scostamento, rispetto all’andamento pre-crisi, iniziato dopo la fine della seconda settimana</w:t>
      </w:r>
      <w:r>
        <w:t xml:space="preserve"> di marzo</w:t>
      </w:r>
      <w:r w:rsidRPr="002E450D">
        <w:t xml:space="preserve">; in particolare, si osserva un aumento dei decessi cumulati nelle età più </w:t>
      </w:r>
      <w:r>
        <w:t>anziane: per 90 anni e più, al 30 aprile</w:t>
      </w:r>
      <w:r w:rsidRPr="002E450D">
        <w:t xml:space="preserve"> essi sono </w:t>
      </w:r>
      <w:r>
        <w:t>superiori di circa il 12</w:t>
      </w:r>
      <w:r w:rsidRPr="002E450D">
        <w:t>%. Per le province a bassa diffusione si osserva un eccesso di decessi, rispetto al 2015-2019, solo riferito al</w:t>
      </w:r>
      <w:r>
        <w:t>le età 90 e più (3% in più al 30 aprile</w:t>
      </w:r>
      <w:r w:rsidRPr="002E450D">
        <w:t>).</w:t>
      </w:r>
    </w:p>
    <w:p w14:paraId="3C5F5398" w14:textId="77777777" w:rsidR="007544F6" w:rsidRDefault="007544F6" w:rsidP="001C4730">
      <w:pPr>
        <w:rPr>
          <w:b/>
          <w:bCs/>
          <w:color w:val="1F3864" w:themeColor="accent5" w:themeShade="80"/>
          <w:sz w:val="20"/>
          <w:szCs w:val="20"/>
        </w:rPr>
      </w:pPr>
    </w:p>
    <w:p w14:paraId="767286D9" w14:textId="4241FB1F" w:rsidR="00224EC5" w:rsidRPr="00B90D25" w:rsidRDefault="001C4730" w:rsidP="001C4730">
      <w:pPr>
        <w:rPr>
          <w:color w:val="1F3864" w:themeColor="accent5" w:themeShade="80"/>
          <w:sz w:val="20"/>
          <w:szCs w:val="20"/>
        </w:rPr>
      </w:pPr>
      <w:r w:rsidRPr="00B90D25">
        <w:rPr>
          <w:b/>
          <w:bCs/>
          <w:color w:val="1F3864" w:themeColor="accent5" w:themeShade="80"/>
          <w:sz w:val="20"/>
          <w:szCs w:val="20"/>
        </w:rPr>
        <w:t>Figura 5. Decessi cumulati a partire dal primo gennaio per classe di età.</w:t>
      </w:r>
      <w:r w:rsidRPr="001B12FE">
        <w:rPr>
          <w:b/>
          <w:bCs/>
          <w:color w:val="1F3864" w:themeColor="accent5" w:themeShade="80"/>
        </w:rPr>
        <w:t xml:space="preserve"> </w:t>
      </w:r>
      <w:r w:rsidRPr="00B90D25">
        <w:rPr>
          <w:color w:val="1F3864" w:themeColor="accent5" w:themeShade="80"/>
          <w:sz w:val="20"/>
          <w:szCs w:val="20"/>
        </w:rPr>
        <w:t xml:space="preserve">Per 100 decessi della stessa classe di età della media 2015-2019. Province con </w:t>
      </w:r>
      <w:r w:rsidRPr="00B90D25">
        <w:rPr>
          <w:b/>
          <w:bCs/>
          <w:color w:val="1F3864" w:themeColor="accent5" w:themeShade="80"/>
          <w:sz w:val="20"/>
          <w:szCs w:val="20"/>
        </w:rPr>
        <w:t>basso</w:t>
      </w:r>
      <w:r w:rsidRPr="00B90D25">
        <w:rPr>
          <w:color w:val="1F3864" w:themeColor="accent5" w:themeShade="80"/>
          <w:sz w:val="20"/>
          <w:szCs w:val="20"/>
        </w:rPr>
        <w:t xml:space="preserve"> livello di diffusione Covid-19. Periodo: 20/02/2020-31/03/2020</w:t>
      </w:r>
    </w:p>
    <w:p w14:paraId="3A7AE22C" w14:textId="51D0A966" w:rsidR="00BB464E" w:rsidRDefault="00397960" w:rsidP="00BB464E">
      <w:pPr>
        <w:rPr>
          <w:sz w:val="24"/>
          <w:szCs w:val="24"/>
        </w:rPr>
      </w:pPr>
      <w:r>
        <w:rPr>
          <w:noProof/>
          <w:lang w:eastAsia="it-IT"/>
        </w:rPr>
        <w:drawing>
          <wp:inline distT="0" distB="0" distL="0" distR="0" wp14:anchorId="4CFF8067" wp14:editId="3924976F">
            <wp:extent cx="6120130" cy="2719705"/>
            <wp:effectExtent l="0" t="0" r="13970" b="4445"/>
            <wp:docPr id="12" name="Grafico 1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203BF77" w14:textId="17437ABE" w:rsidR="00224EC5" w:rsidRPr="001C4730" w:rsidRDefault="00224EC5" w:rsidP="00BB464E">
      <w:pPr>
        <w:rPr>
          <w:i/>
          <w:sz w:val="24"/>
          <w:szCs w:val="24"/>
        </w:rPr>
      </w:pPr>
      <w:r w:rsidRPr="001C4730">
        <w:rPr>
          <w:i/>
          <w:sz w:val="16"/>
          <w:szCs w:val="16"/>
        </w:rPr>
        <w:t>Fonte: Istat. Base dati integrata mortalità giornaliera comunale</w:t>
      </w:r>
    </w:p>
    <w:p w14:paraId="5388C1A4" w14:textId="77777777" w:rsidR="001C4730" w:rsidRDefault="001C4730" w:rsidP="00F330BB">
      <w:pPr>
        <w:rPr>
          <w:rFonts w:ascii="Arial Narrow" w:hAnsi="Arial Narrow"/>
          <w:b/>
          <w:bCs/>
          <w:iCs w:val="0"/>
          <w:color w:val="1F3864" w:themeColor="accent5" w:themeShade="80"/>
          <w:sz w:val="32"/>
          <w:szCs w:val="32"/>
        </w:rPr>
      </w:pPr>
    </w:p>
    <w:p w14:paraId="1D1ACFDD" w14:textId="7F46A083" w:rsidR="00F330BB" w:rsidRPr="00F330BB" w:rsidRDefault="00DE6DEB" w:rsidP="00F330BB">
      <w:pPr>
        <w:rPr>
          <w:b/>
          <w:color w:val="000000" w:themeColor="text1"/>
        </w:rPr>
      </w:pPr>
      <w:r>
        <w:rPr>
          <w:rFonts w:ascii="Arial Narrow" w:hAnsi="Arial Narrow"/>
          <w:b/>
          <w:bCs/>
          <w:iCs w:val="0"/>
          <w:color w:val="1F3864" w:themeColor="accent5" w:themeShade="80"/>
          <w:sz w:val="32"/>
          <w:szCs w:val="32"/>
        </w:rPr>
        <w:t xml:space="preserve">Il </w:t>
      </w:r>
      <w:r w:rsidR="00F330BB" w:rsidRPr="00B91A90">
        <w:rPr>
          <w:rFonts w:ascii="Arial Narrow" w:hAnsi="Arial Narrow"/>
          <w:b/>
          <w:bCs/>
          <w:iCs w:val="0"/>
          <w:color w:val="1F3864" w:themeColor="accent5" w:themeShade="80"/>
          <w:sz w:val="32"/>
          <w:szCs w:val="32"/>
        </w:rPr>
        <w:t>contributo dei decessi Covid-19 all’eccesso di mortalità delle province ad alta diffusione</w:t>
      </w:r>
    </w:p>
    <w:p w14:paraId="556C0C13" w14:textId="77777777" w:rsidR="001C4730" w:rsidRPr="00F330BB" w:rsidRDefault="001C4730" w:rsidP="001C4730">
      <w:pPr>
        <w:spacing w:after="120" w:line="240" w:lineRule="auto"/>
        <w:rPr>
          <w:color w:val="000000" w:themeColor="text1"/>
        </w:rPr>
      </w:pPr>
      <w:r w:rsidRPr="00F330BB">
        <w:rPr>
          <w:color w:val="000000" w:themeColor="text1"/>
        </w:rPr>
        <w:t>Rispetto al Rapporto precedente</w:t>
      </w:r>
      <w:r>
        <w:rPr>
          <w:color w:val="000000" w:themeColor="text1"/>
        </w:rPr>
        <w:t>,</w:t>
      </w:r>
      <w:r w:rsidRPr="00F330BB">
        <w:rPr>
          <w:color w:val="000000" w:themeColor="text1"/>
        </w:rPr>
        <w:t xml:space="preserve"> i decessi Covid-19 riportati alla </w:t>
      </w:r>
      <w:r>
        <w:rPr>
          <w:color w:val="000000" w:themeColor="text1"/>
        </w:rPr>
        <w:t>S</w:t>
      </w:r>
      <w:r w:rsidRPr="00F330BB">
        <w:rPr>
          <w:color w:val="000000" w:themeColor="text1"/>
        </w:rPr>
        <w:t xml:space="preserve">orveglianza integrata spiegano in maniera più marcata l’eccesso di mortalità registrato nel mese di aprile </w:t>
      </w:r>
      <w:r>
        <w:rPr>
          <w:color w:val="000000" w:themeColor="text1"/>
        </w:rPr>
        <w:t xml:space="preserve">2020 </w:t>
      </w:r>
      <w:r w:rsidRPr="00F330BB">
        <w:rPr>
          <w:color w:val="000000" w:themeColor="text1"/>
        </w:rPr>
        <w:t>rispetto al</w:t>
      </w:r>
      <w:r>
        <w:rPr>
          <w:color w:val="000000" w:themeColor="text1"/>
        </w:rPr>
        <w:t>lo stesso mese del 2015-2019</w:t>
      </w:r>
      <w:r w:rsidRPr="00F330BB">
        <w:rPr>
          <w:color w:val="000000" w:themeColor="text1"/>
        </w:rPr>
        <w:t>: mentre nel mese di marzo</w:t>
      </w:r>
      <w:r>
        <w:rPr>
          <w:color w:val="000000" w:themeColor="text1"/>
        </w:rPr>
        <w:t>,</w:t>
      </w:r>
      <w:r w:rsidRPr="00F330BB">
        <w:rPr>
          <w:color w:val="000000" w:themeColor="text1"/>
        </w:rPr>
        <w:t xml:space="preserve"> dei 26.350 decessi stimati in eccesso il 54% sono stati riporta</w:t>
      </w:r>
      <w:r>
        <w:rPr>
          <w:color w:val="000000" w:themeColor="text1"/>
        </w:rPr>
        <w:t>ti dalla Sorveglianza integrata</w:t>
      </w:r>
      <w:r w:rsidRPr="00F330BB">
        <w:rPr>
          <w:color w:val="000000" w:themeColor="text1"/>
        </w:rPr>
        <w:t xml:space="preserve"> (14.420)</w:t>
      </w:r>
      <w:r>
        <w:rPr>
          <w:color w:val="000000" w:themeColor="text1"/>
        </w:rPr>
        <w:t>,</w:t>
      </w:r>
      <w:r w:rsidRPr="00F330BB">
        <w:rPr>
          <w:color w:val="000000" w:themeColor="text1"/>
        </w:rPr>
        <w:t xml:space="preserve"> nel mese di aprile dei 16</w:t>
      </w:r>
      <w:r>
        <w:rPr>
          <w:color w:val="000000" w:themeColor="text1"/>
        </w:rPr>
        <w:t>.</w:t>
      </w:r>
      <w:r w:rsidRPr="00F330BB">
        <w:rPr>
          <w:color w:val="000000" w:themeColor="text1"/>
        </w:rPr>
        <w:t xml:space="preserve">283 decessi in eccesso l’82% è riportato dalla </w:t>
      </w:r>
      <w:r>
        <w:rPr>
          <w:color w:val="000000" w:themeColor="text1"/>
        </w:rPr>
        <w:t>S</w:t>
      </w:r>
      <w:r w:rsidRPr="00F330BB">
        <w:rPr>
          <w:color w:val="000000" w:themeColor="text1"/>
        </w:rPr>
        <w:t xml:space="preserve">orveglianza (13.426). </w:t>
      </w:r>
    </w:p>
    <w:p w14:paraId="2D18199C" w14:textId="77777777" w:rsidR="001C4730" w:rsidRDefault="001C4730" w:rsidP="001C4730">
      <w:pPr>
        <w:spacing w:after="120" w:line="240" w:lineRule="auto"/>
        <w:rPr>
          <w:color w:val="000000" w:themeColor="text1"/>
        </w:rPr>
      </w:pPr>
      <w:r w:rsidRPr="00F330BB">
        <w:rPr>
          <w:color w:val="000000" w:themeColor="text1"/>
        </w:rPr>
        <w:t>Considerando l’eccesso di mortalità nelle province ad alta diffusione</w:t>
      </w:r>
      <w:r>
        <w:rPr>
          <w:color w:val="000000" w:themeColor="text1"/>
        </w:rPr>
        <w:t>,</w:t>
      </w:r>
      <w:r w:rsidRPr="00F330BB">
        <w:rPr>
          <w:color w:val="000000" w:themeColor="text1"/>
        </w:rPr>
        <w:t xml:space="preserve"> nel mese di aprile dei 13.989 decessi stimati in eccesso</w:t>
      </w:r>
      <w:r>
        <w:rPr>
          <w:color w:val="000000" w:themeColor="text1"/>
        </w:rPr>
        <w:t>,</w:t>
      </w:r>
      <w:r w:rsidRPr="00F330BB">
        <w:rPr>
          <w:color w:val="000000" w:themeColor="text1"/>
        </w:rPr>
        <w:t xml:space="preserve"> rispetto al 2015-2019</w:t>
      </w:r>
      <w:r>
        <w:rPr>
          <w:color w:val="000000" w:themeColor="text1"/>
        </w:rPr>
        <w:t>,</w:t>
      </w:r>
      <w:r w:rsidRPr="00F330BB">
        <w:rPr>
          <w:color w:val="000000" w:themeColor="text1"/>
        </w:rPr>
        <w:t xml:space="preserve"> il 72% (10.019) p</w:t>
      </w:r>
      <w:r>
        <w:rPr>
          <w:color w:val="000000" w:themeColor="text1"/>
        </w:rPr>
        <w:t>uò</w:t>
      </w:r>
      <w:r w:rsidRPr="00F330BB">
        <w:rPr>
          <w:color w:val="000000" w:themeColor="text1"/>
        </w:rPr>
        <w:t xml:space="preserve"> essere attribuit</w:t>
      </w:r>
      <w:r>
        <w:rPr>
          <w:color w:val="000000" w:themeColor="text1"/>
        </w:rPr>
        <w:t>o</w:t>
      </w:r>
      <w:r w:rsidRPr="00F330BB">
        <w:rPr>
          <w:color w:val="000000" w:themeColor="text1"/>
        </w:rPr>
        <w:t xml:space="preserve"> ai decessi Covid-19.</w:t>
      </w:r>
    </w:p>
    <w:p w14:paraId="109B2DF2" w14:textId="4772510B" w:rsidR="001C4730" w:rsidRDefault="001C4730" w:rsidP="001C4730">
      <w:pPr>
        <w:shd w:val="clear" w:color="auto" w:fill="FFFFFF" w:themeFill="background1"/>
        <w:spacing w:after="120" w:line="240" w:lineRule="auto"/>
      </w:pPr>
      <w:r w:rsidRPr="00F925C8">
        <w:t xml:space="preserve">Si riduce dunque nel mese di aprile la quota di eccesso di mortalità totale non spiegata dal Covid-19. </w:t>
      </w:r>
      <w:r w:rsidR="00142C69">
        <w:t xml:space="preserve">E’ questo un risultato di grande rilievo. </w:t>
      </w:r>
      <w:r w:rsidR="00142C69" w:rsidRPr="00A5047E">
        <w:rPr>
          <w:rFonts w:eastAsia="Times New Roman"/>
          <w:color w:val="000000" w:themeColor="text1"/>
          <w:lang w:eastAsia="it-IT"/>
        </w:rPr>
        <w:t xml:space="preserve">Con i dati oggi a disposizione, si possono solo ipotizzare due possibili cause: è aumentata la capacità diagnostica delle strutture sanitarie e quindi sono stati diagnosticati in maniera più accurata i casi di COVID-19; </w:t>
      </w:r>
      <w:r w:rsidR="00142C69">
        <w:rPr>
          <w:rFonts w:eastAsia="Times New Roman"/>
          <w:color w:val="000000" w:themeColor="text1"/>
          <w:lang w:eastAsia="it-IT"/>
        </w:rPr>
        <w:t>è diminuita la</w:t>
      </w:r>
      <w:r w:rsidR="00142C69" w:rsidRPr="00A5047E">
        <w:rPr>
          <w:rFonts w:eastAsia="Times New Roman"/>
          <w:color w:val="000000" w:themeColor="text1"/>
          <w:lang w:eastAsia="it-IT"/>
        </w:rPr>
        <w:t xml:space="preserve"> mortalità indiretta non correlata al virus ma causata dalla crisi del sistema ospedaliero nelle aree maggiormente affette. Quest’ultima componente infatti migliora man mano che si riduce la pressione sui sistemi sanitari.</w:t>
      </w:r>
    </w:p>
    <w:p w14:paraId="2C3E6034" w14:textId="77777777" w:rsidR="001C4730" w:rsidRPr="008C18E8" w:rsidRDefault="001C4730" w:rsidP="001C4730">
      <w:pPr>
        <w:shd w:val="clear" w:color="auto" w:fill="FFFFFF" w:themeFill="background1"/>
        <w:spacing w:after="120" w:line="240" w:lineRule="auto"/>
        <w:rPr>
          <w:sz w:val="10"/>
          <w:szCs w:val="10"/>
        </w:rPr>
      </w:pPr>
      <w:r w:rsidRPr="008C18E8">
        <w:rPr>
          <w:sz w:val="10"/>
          <w:szCs w:val="10"/>
        </w:rPr>
        <w:t xml:space="preserve"> </w:t>
      </w:r>
    </w:p>
    <w:p w14:paraId="76AC603D" w14:textId="77777777" w:rsidR="003601D7" w:rsidRDefault="003601D7" w:rsidP="001C4730">
      <w:pPr>
        <w:rPr>
          <w:b/>
          <w:bCs/>
          <w:color w:val="1F3864" w:themeColor="accent5" w:themeShade="80"/>
          <w:sz w:val="20"/>
          <w:szCs w:val="20"/>
        </w:rPr>
      </w:pPr>
    </w:p>
    <w:p w14:paraId="4EDE9849" w14:textId="2D854E30" w:rsidR="00B90D25" w:rsidRPr="005C4D77" w:rsidRDefault="001C4730" w:rsidP="00B90D25">
      <w:pPr>
        <w:spacing w:line="240" w:lineRule="auto"/>
        <w:jc w:val="left"/>
        <w:rPr>
          <w:color w:val="000000" w:themeColor="text1"/>
          <w:sz w:val="20"/>
          <w:szCs w:val="20"/>
        </w:rPr>
      </w:pPr>
      <w:r w:rsidRPr="008C18E8">
        <w:rPr>
          <w:b/>
          <w:bCs/>
          <w:color w:val="1F3864" w:themeColor="accent5" w:themeShade="80"/>
          <w:sz w:val="20"/>
          <w:szCs w:val="20"/>
        </w:rPr>
        <w:t>Figura 6. Andamento giornaliero periodo marzo-aprile dell'eccesso di mortalità maschile registrato nel 2020 rispetto alla media degli anni 2015-2019 e dei decessi Covid-19</w:t>
      </w:r>
      <w:r w:rsidR="00122739">
        <w:rPr>
          <w:b/>
          <w:bCs/>
          <w:color w:val="1F3864" w:themeColor="accent5" w:themeShade="80"/>
          <w:sz w:val="20"/>
          <w:szCs w:val="20"/>
        </w:rPr>
        <w:t xml:space="preserve">. </w:t>
      </w:r>
      <w:r w:rsidR="00122739" w:rsidRPr="005C4D77">
        <w:rPr>
          <w:color w:val="1F3864" w:themeColor="accent5" w:themeShade="80"/>
          <w:sz w:val="20"/>
          <w:szCs w:val="20"/>
        </w:rPr>
        <w:t>V</w:t>
      </w:r>
      <w:r w:rsidRPr="005C4D77">
        <w:rPr>
          <w:color w:val="1F3864" w:themeColor="accent5" w:themeShade="80"/>
          <w:sz w:val="20"/>
          <w:szCs w:val="20"/>
        </w:rPr>
        <w:t xml:space="preserve">alori assoluti dei decessi. Province con </w:t>
      </w:r>
      <w:r w:rsidRPr="005C4D77">
        <w:rPr>
          <w:b/>
          <w:bCs/>
          <w:color w:val="1F3864" w:themeColor="accent5" w:themeShade="80"/>
          <w:sz w:val="20"/>
          <w:szCs w:val="20"/>
        </w:rPr>
        <w:t>alta</w:t>
      </w:r>
      <w:r w:rsidRPr="005C4D77">
        <w:rPr>
          <w:color w:val="1F3864" w:themeColor="accent5" w:themeShade="80"/>
          <w:sz w:val="20"/>
          <w:szCs w:val="20"/>
        </w:rPr>
        <w:t xml:space="preserve"> diffusione Covid-19.</w:t>
      </w:r>
      <w:r w:rsidR="00F330BB" w:rsidRPr="005C4D77">
        <w:rPr>
          <w:color w:val="000000" w:themeColor="text1"/>
          <w:sz w:val="20"/>
          <w:szCs w:val="20"/>
        </w:rPr>
        <w:t xml:space="preserve"> </w:t>
      </w:r>
    </w:p>
    <w:p w14:paraId="58C83035" w14:textId="2DFC9B4D" w:rsidR="00F330BB" w:rsidRPr="00E27E45" w:rsidRDefault="00B90D25" w:rsidP="00B90D25">
      <w:pPr>
        <w:spacing w:line="240" w:lineRule="auto"/>
        <w:jc w:val="left"/>
        <w:rPr>
          <w:b/>
          <w:color w:val="000000" w:themeColor="text1"/>
          <w:sz w:val="20"/>
          <w:szCs w:val="20"/>
        </w:rPr>
      </w:pPr>
      <w:r>
        <w:rPr>
          <w:noProof/>
          <w:lang w:eastAsia="it-IT"/>
        </w:rPr>
        <w:drawing>
          <wp:inline distT="0" distB="0" distL="0" distR="0" wp14:anchorId="21C8770E" wp14:editId="4EE29E28">
            <wp:extent cx="6120130" cy="2719705"/>
            <wp:effectExtent l="0" t="0" r="13970" b="4445"/>
            <wp:docPr id="13" name="Grafico 1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78C02D5" w14:textId="77777777" w:rsidR="00F330BB" w:rsidRPr="001C4730" w:rsidRDefault="00F330BB" w:rsidP="00E27E45">
      <w:pPr>
        <w:spacing w:after="0"/>
        <w:rPr>
          <w:i/>
          <w:color w:val="000000" w:themeColor="text1"/>
          <w:sz w:val="16"/>
          <w:szCs w:val="16"/>
        </w:rPr>
      </w:pPr>
      <w:r w:rsidRPr="001C4730">
        <w:rPr>
          <w:i/>
          <w:color w:val="000000" w:themeColor="text1"/>
          <w:sz w:val="16"/>
          <w:szCs w:val="16"/>
        </w:rPr>
        <w:t xml:space="preserve">Fonte: Istat. Base dati integrata mortalità giornaliera comunale, </w:t>
      </w:r>
      <w:proofErr w:type="spellStart"/>
      <w:r w:rsidRPr="001C4730">
        <w:rPr>
          <w:i/>
          <w:color w:val="000000" w:themeColor="text1"/>
          <w:sz w:val="16"/>
          <w:szCs w:val="16"/>
        </w:rPr>
        <w:t>Iss</w:t>
      </w:r>
      <w:proofErr w:type="spellEnd"/>
      <w:r w:rsidRPr="001C4730">
        <w:rPr>
          <w:i/>
          <w:color w:val="000000" w:themeColor="text1"/>
          <w:sz w:val="16"/>
          <w:szCs w:val="16"/>
        </w:rPr>
        <w:t xml:space="preserve"> Sistema di sorveglianza integrata Covid-19</w:t>
      </w:r>
    </w:p>
    <w:p w14:paraId="315578B3" w14:textId="77777777" w:rsidR="00F330BB" w:rsidRDefault="00F330BB" w:rsidP="00F330BB">
      <w:pPr>
        <w:rPr>
          <w:color w:val="000000" w:themeColor="text1"/>
          <w:sz w:val="20"/>
          <w:szCs w:val="20"/>
        </w:rPr>
      </w:pPr>
    </w:p>
    <w:p w14:paraId="1AB8F1D5" w14:textId="040B0E2B" w:rsidR="003601D7" w:rsidRDefault="001C4730" w:rsidP="00122739">
      <w:pPr>
        <w:spacing w:line="240" w:lineRule="auto"/>
        <w:rPr>
          <w:b/>
          <w:bCs/>
          <w:color w:val="1F3864" w:themeColor="accent5" w:themeShade="80"/>
          <w:sz w:val="20"/>
          <w:szCs w:val="20"/>
        </w:rPr>
      </w:pPr>
      <w:r w:rsidRPr="00F330BB">
        <w:rPr>
          <w:color w:val="000000" w:themeColor="text1"/>
        </w:rPr>
        <w:t>Considerando i decessi avvenuti in un’età superiore o uguale ai 50 anni</w:t>
      </w:r>
      <w:r>
        <w:rPr>
          <w:color w:val="000000" w:themeColor="text1"/>
        </w:rPr>
        <w:t xml:space="preserve"> nelle zone ad alta diffusione</w:t>
      </w:r>
      <w:r w:rsidRPr="00F330BB">
        <w:rPr>
          <w:color w:val="000000" w:themeColor="text1"/>
        </w:rPr>
        <w:t xml:space="preserve">, se si confrontano gli andamenti giornalieri dei decessi Covid-19 rispetto all’eccesso stimato, essi spiegano in media il </w:t>
      </w:r>
      <w:r>
        <w:rPr>
          <w:color w:val="000000" w:themeColor="text1"/>
        </w:rPr>
        <w:t>60% nel periodo marzo aprile, mentre se si considera il solo mese di aprile tale percentuale sale al 69%. Il contributo dei decessi Covid-19 alla spiegazione dell’eccesso è diverso tra uomini e donne nel periodo marzo-aprile: quello maschile è del 70% (diventa dell’84% nel solo mese di aprile) mentre il contributo femminile è pari al 49% (cresce al 61% considerando il mese di aprile). A</w:t>
      </w:r>
      <w:r w:rsidRPr="00F330BB">
        <w:rPr>
          <w:color w:val="000000" w:themeColor="text1"/>
        </w:rPr>
        <w:t xml:space="preserve"> partire dal 20 aprile i decessi Covid-19 registrati negli uomini sono sempre superiori al valore dell’eccesso stimato, nelle donne questa differenza è meno marcata anche se presente negli ultimi giorni di aprile (Figura 6 e 7).</w:t>
      </w:r>
      <w:r>
        <w:rPr>
          <w:color w:val="000000" w:themeColor="text1"/>
        </w:rPr>
        <w:t xml:space="preserve"> </w:t>
      </w:r>
    </w:p>
    <w:p w14:paraId="00D37555" w14:textId="77777777" w:rsidR="00122739" w:rsidRDefault="00122739" w:rsidP="001C4730">
      <w:pPr>
        <w:rPr>
          <w:b/>
          <w:bCs/>
          <w:color w:val="1F3864" w:themeColor="accent5" w:themeShade="80"/>
          <w:sz w:val="20"/>
          <w:szCs w:val="20"/>
        </w:rPr>
      </w:pPr>
      <w:r>
        <w:rPr>
          <w:b/>
          <w:bCs/>
          <w:color w:val="1F3864" w:themeColor="accent5" w:themeShade="80"/>
          <w:sz w:val="20"/>
          <w:szCs w:val="20"/>
        </w:rPr>
        <w:br w:type="page"/>
      </w:r>
    </w:p>
    <w:p w14:paraId="46D35394" w14:textId="77777777" w:rsidR="00122739" w:rsidRDefault="00122739" w:rsidP="001C4730">
      <w:pPr>
        <w:rPr>
          <w:b/>
          <w:bCs/>
          <w:color w:val="1F3864" w:themeColor="accent5" w:themeShade="80"/>
          <w:sz w:val="20"/>
          <w:szCs w:val="20"/>
        </w:rPr>
      </w:pPr>
    </w:p>
    <w:p w14:paraId="7475360D" w14:textId="5F9AA012" w:rsidR="00F330BB" w:rsidRPr="005C4D77" w:rsidRDefault="001C4730" w:rsidP="001C4730">
      <w:pPr>
        <w:rPr>
          <w:color w:val="1F3864" w:themeColor="accent5" w:themeShade="80"/>
        </w:rPr>
      </w:pPr>
      <w:r w:rsidRPr="008C18E8">
        <w:rPr>
          <w:b/>
          <w:bCs/>
          <w:color w:val="1F3864" w:themeColor="accent5" w:themeShade="80"/>
          <w:sz w:val="20"/>
          <w:szCs w:val="20"/>
        </w:rPr>
        <w:t>Figura 7</w:t>
      </w:r>
      <w:r w:rsidR="007E60F7">
        <w:rPr>
          <w:b/>
          <w:bCs/>
          <w:color w:val="1F3864" w:themeColor="accent5" w:themeShade="80"/>
          <w:sz w:val="20"/>
          <w:szCs w:val="20"/>
        </w:rPr>
        <w:t xml:space="preserve">. </w:t>
      </w:r>
      <w:r w:rsidRPr="008C18E8">
        <w:rPr>
          <w:b/>
          <w:bCs/>
          <w:color w:val="1F3864" w:themeColor="accent5" w:themeShade="80"/>
          <w:sz w:val="20"/>
          <w:szCs w:val="20"/>
        </w:rPr>
        <w:t>Andamento giornaliero nel periodo marzo-aprile dell'eccesso di mortalità femminile registrato nel 2020 rispetto alla media degli anni 2015-2019 e dei decessi Covid-19</w:t>
      </w:r>
      <w:r w:rsidR="005C4D77">
        <w:rPr>
          <w:b/>
          <w:bCs/>
          <w:color w:val="1F3864" w:themeColor="accent5" w:themeShade="80"/>
          <w:sz w:val="20"/>
          <w:szCs w:val="20"/>
        </w:rPr>
        <w:t xml:space="preserve">. </w:t>
      </w:r>
      <w:r w:rsidR="005C4D77" w:rsidRPr="005C4D77">
        <w:rPr>
          <w:color w:val="1F3864" w:themeColor="accent5" w:themeShade="80"/>
          <w:sz w:val="20"/>
          <w:szCs w:val="20"/>
        </w:rPr>
        <w:t>V</w:t>
      </w:r>
      <w:r w:rsidRPr="005C4D77">
        <w:rPr>
          <w:color w:val="1F3864" w:themeColor="accent5" w:themeShade="80"/>
          <w:sz w:val="20"/>
          <w:szCs w:val="20"/>
        </w:rPr>
        <w:t xml:space="preserve">alori assoluti dei decessi. Province con </w:t>
      </w:r>
      <w:r w:rsidRPr="005C4D77">
        <w:rPr>
          <w:b/>
          <w:bCs/>
          <w:color w:val="1F3864" w:themeColor="accent5" w:themeShade="80"/>
          <w:sz w:val="20"/>
          <w:szCs w:val="20"/>
        </w:rPr>
        <w:t>alta</w:t>
      </w:r>
      <w:r w:rsidRPr="005C4D77">
        <w:rPr>
          <w:color w:val="1F3864" w:themeColor="accent5" w:themeShade="80"/>
          <w:sz w:val="20"/>
          <w:szCs w:val="20"/>
        </w:rPr>
        <w:t xml:space="preserve"> diffusione Covid-19</w:t>
      </w:r>
    </w:p>
    <w:p w14:paraId="705F0512" w14:textId="7495BC79" w:rsidR="003A3DAF" w:rsidRPr="001B2529" w:rsidRDefault="00122739" w:rsidP="00F330BB">
      <w:pPr>
        <w:rPr>
          <w:bCs/>
          <w:color w:val="1F3864" w:themeColor="accent5" w:themeShade="80"/>
        </w:rPr>
      </w:pPr>
      <w:r>
        <w:rPr>
          <w:noProof/>
          <w:lang w:eastAsia="it-IT"/>
        </w:rPr>
        <w:drawing>
          <wp:inline distT="0" distB="0" distL="0" distR="0" wp14:anchorId="2F6C7488" wp14:editId="32B487C9">
            <wp:extent cx="6120130" cy="2719705"/>
            <wp:effectExtent l="0" t="0" r="13970" b="4445"/>
            <wp:docPr id="14" name="Grafico 1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173D9F0" w14:textId="77777777" w:rsidR="003B0039" w:rsidRPr="001C4730" w:rsidRDefault="003B0039" w:rsidP="003B0039">
      <w:pPr>
        <w:spacing w:after="0"/>
        <w:rPr>
          <w:i/>
          <w:color w:val="000000" w:themeColor="text1"/>
          <w:sz w:val="16"/>
          <w:szCs w:val="16"/>
        </w:rPr>
      </w:pPr>
      <w:r w:rsidRPr="001C4730">
        <w:rPr>
          <w:i/>
          <w:color w:val="000000" w:themeColor="text1"/>
          <w:sz w:val="16"/>
          <w:szCs w:val="16"/>
        </w:rPr>
        <w:t xml:space="preserve">Fonte: Istat. Base dati integrata mortalità giornaliera comunale, </w:t>
      </w:r>
      <w:proofErr w:type="spellStart"/>
      <w:r w:rsidRPr="001C4730">
        <w:rPr>
          <w:i/>
          <w:color w:val="000000" w:themeColor="text1"/>
          <w:sz w:val="16"/>
          <w:szCs w:val="16"/>
        </w:rPr>
        <w:t>Iss</w:t>
      </w:r>
      <w:proofErr w:type="spellEnd"/>
      <w:r w:rsidRPr="001C4730">
        <w:rPr>
          <w:i/>
          <w:color w:val="000000" w:themeColor="text1"/>
          <w:sz w:val="16"/>
          <w:szCs w:val="16"/>
        </w:rPr>
        <w:t xml:space="preserve"> Sistema di sorveglianza integrata Covid-19</w:t>
      </w:r>
    </w:p>
    <w:p w14:paraId="78392F74" w14:textId="77777777" w:rsidR="007C5F08" w:rsidRDefault="007C5F08" w:rsidP="00F330BB">
      <w:pPr>
        <w:rPr>
          <w:color w:val="000000" w:themeColor="text1"/>
          <w:sz w:val="20"/>
          <w:szCs w:val="20"/>
        </w:rPr>
      </w:pPr>
    </w:p>
    <w:p w14:paraId="642F2CF2" w14:textId="43870662" w:rsidR="00122739" w:rsidRDefault="001C4730" w:rsidP="001C4730">
      <w:pPr>
        <w:spacing w:after="120" w:line="240" w:lineRule="auto"/>
        <w:rPr>
          <w:color w:val="000000" w:themeColor="text1"/>
        </w:rPr>
      </w:pPr>
      <w:r w:rsidRPr="00666D22">
        <w:rPr>
          <w:color w:val="000000" w:themeColor="text1"/>
        </w:rPr>
        <w:t>La diminuzione sempre maggiore del numero di decessi negli ultimi dieci giorni di aprile 2020 riduce l</w:t>
      </w:r>
      <w:r w:rsidRPr="0049198F">
        <w:rPr>
          <w:color w:val="000000" w:themeColor="text1"/>
        </w:rPr>
        <w:t xml:space="preserve">a stima dell’eccesso di mortalità rispetto al 2015-2019. Ciò può significare che si è ridotta, per effetto dell’alta mortalità del periodo precedente, la popolazione più fragile e quindi più esposta al rischio di morte (fenomeno noto in epidemiologia come effetto </w:t>
      </w:r>
      <w:proofErr w:type="spellStart"/>
      <w:r w:rsidRPr="0049198F">
        <w:rPr>
          <w:color w:val="000000" w:themeColor="text1"/>
        </w:rPr>
        <w:t>harvesting</w:t>
      </w:r>
      <w:proofErr w:type="spellEnd"/>
      <w:r w:rsidRPr="00666D22">
        <w:rPr>
          <w:rStyle w:val="Rimandonotaapidipagina"/>
          <w:color w:val="000000" w:themeColor="text1"/>
        </w:rPr>
        <w:footnoteReference w:id="11"/>
      </w:r>
      <w:r w:rsidRPr="00666D22">
        <w:rPr>
          <w:color w:val="000000" w:themeColor="text1"/>
        </w:rPr>
        <w:t>) o, in misura minore, che ci sono problemi di sotto-</w:t>
      </w:r>
      <w:r w:rsidRPr="0049198F">
        <w:rPr>
          <w:color w:val="000000" w:themeColor="text1"/>
        </w:rPr>
        <w:t>copertura dei dati di mortalità negli ultimi giorni del mese di aprile. Riguardo a quest’ultimo punto la Figura 8 consente di apprezzare per il mese di marzo 2020 i recuperi di decessi acquisiti con oltre un mese di ritardo (porzione in rosso degli istogrammi). Questi recuperi si concentrano prevalentemente negli ultimi dieci giorni del mese e ammontano a circa il 4% dei decessi del periodo 20-31 marzo 2020.</w:t>
      </w:r>
      <w:r w:rsidR="00122739">
        <w:rPr>
          <w:color w:val="000000" w:themeColor="text1"/>
        </w:rPr>
        <w:br w:type="page"/>
      </w:r>
    </w:p>
    <w:p w14:paraId="5292CE88" w14:textId="77777777" w:rsidR="003601D7" w:rsidRDefault="003601D7" w:rsidP="001C4730">
      <w:pPr>
        <w:spacing w:line="240" w:lineRule="auto"/>
        <w:rPr>
          <w:b/>
          <w:bCs/>
          <w:color w:val="1F3864" w:themeColor="accent5" w:themeShade="80"/>
          <w:sz w:val="20"/>
          <w:szCs w:val="20"/>
        </w:rPr>
      </w:pPr>
    </w:p>
    <w:p w14:paraId="1BA5FB4F" w14:textId="1C39E01A" w:rsidR="001C4730" w:rsidRPr="008C18E8" w:rsidRDefault="001C4730" w:rsidP="00710C75">
      <w:pPr>
        <w:spacing w:line="240" w:lineRule="auto"/>
        <w:rPr>
          <w:b/>
          <w:bCs/>
          <w:color w:val="1F3864" w:themeColor="accent5" w:themeShade="80"/>
          <w:sz w:val="20"/>
          <w:szCs w:val="20"/>
        </w:rPr>
      </w:pPr>
      <w:r w:rsidRPr="008C18E8">
        <w:rPr>
          <w:b/>
          <w:bCs/>
          <w:color w:val="1F3864" w:themeColor="accent5" w:themeShade="80"/>
          <w:sz w:val="20"/>
          <w:szCs w:val="20"/>
        </w:rPr>
        <w:t>Figura 8. Decessi totali giornalieri del mese di marzo 2020, nell’area ad alta diffusione dell’epidemia, per data di acquisizione</w:t>
      </w:r>
      <w:r w:rsidR="007C044F">
        <w:rPr>
          <w:b/>
          <w:bCs/>
          <w:color w:val="1F3864" w:themeColor="accent5" w:themeShade="80"/>
          <w:sz w:val="20"/>
          <w:szCs w:val="20"/>
        </w:rPr>
        <w:t xml:space="preserve">, </w:t>
      </w:r>
      <w:r w:rsidRPr="008C18E8">
        <w:rPr>
          <w:b/>
          <w:bCs/>
          <w:color w:val="1F3864" w:themeColor="accent5" w:themeShade="80"/>
          <w:sz w:val="20"/>
          <w:szCs w:val="20"/>
        </w:rPr>
        <w:t xml:space="preserve">entro il 28 aprile </w:t>
      </w:r>
      <w:r w:rsidR="007C044F">
        <w:rPr>
          <w:b/>
          <w:bCs/>
          <w:color w:val="1F3864" w:themeColor="accent5" w:themeShade="80"/>
          <w:sz w:val="20"/>
          <w:szCs w:val="20"/>
        </w:rPr>
        <w:t xml:space="preserve">(istogrammi blu) </w:t>
      </w:r>
      <w:r w:rsidRPr="008C18E8">
        <w:rPr>
          <w:b/>
          <w:bCs/>
          <w:color w:val="1F3864" w:themeColor="accent5" w:themeShade="80"/>
          <w:sz w:val="20"/>
          <w:szCs w:val="20"/>
        </w:rPr>
        <w:t>e entro il 28 maggio 2020</w:t>
      </w:r>
      <w:r w:rsidR="007C044F">
        <w:rPr>
          <w:b/>
          <w:bCs/>
          <w:color w:val="1F3864" w:themeColor="accent5" w:themeShade="80"/>
          <w:sz w:val="20"/>
          <w:szCs w:val="20"/>
        </w:rPr>
        <w:t xml:space="preserve"> (istogrammi </w:t>
      </w:r>
      <w:proofErr w:type="spellStart"/>
      <w:r w:rsidR="007C044F">
        <w:rPr>
          <w:b/>
          <w:bCs/>
          <w:color w:val="1F3864" w:themeColor="accent5" w:themeShade="80"/>
          <w:sz w:val="20"/>
          <w:szCs w:val="20"/>
        </w:rPr>
        <w:t>blu+rosso</w:t>
      </w:r>
      <w:proofErr w:type="spellEnd"/>
      <w:r w:rsidRPr="008C18E8">
        <w:rPr>
          <w:b/>
          <w:bCs/>
          <w:color w:val="1F3864" w:themeColor="accent5" w:themeShade="80"/>
          <w:sz w:val="20"/>
          <w:szCs w:val="20"/>
        </w:rPr>
        <w:t>).</w:t>
      </w:r>
    </w:p>
    <w:p w14:paraId="44DE5FB0" w14:textId="38CA4CC1" w:rsidR="007C5F08" w:rsidRDefault="00122739" w:rsidP="00F330BB">
      <w:pPr>
        <w:rPr>
          <w:color w:val="000000" w:themeColor="text1"/>
        </w:rPr>
      </w:pPr>
      <w:r>
        <w:rPr>
          <w:noProof/>
          <w:lang w:eastAsia="it-IT"/>
        </w:rPr>
        <w:drawing>
          <wp:inline distT="0" distB="0" distL="0" distR="0" wp14:anchorId="43EF6819" wp14:editId="0E3365BE">
            <wp:extent cx="6120130" cy="2719705"/>
            <wp:effectExtent l="0" t="0" r="13970" b="4445"/>
            <wp:docPr id="15" name="Grafico 1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B00CE39" w14:textId="58F423D7" w:rsidR="003B0039" w:rsidRPr="001C4730" w:rsidRDefault="003B0039" w:rsidP="003B0039">
      <w:pPr>
        <w:spacing w:after="0"/>
        <w:rPr>
          <w:i/>
          <w:color w:val="000000" w:themeColor="text1"/>
          <w:sz w:val="16"/>
          <w:szCs w:val="16"/>
        </w:rPr>
      </w:pPr>
      <w:r w:rsidRPr="001C4730">
        <w:rPr>
          <w:i/>
          <w:color w:val="000000" w:themeColor="text1"/>
          <w:sz w:val="16"/>
          <w:szCs w:val="16"/>
        </w:rPr>
        <w:t>Fonte: Istat. Base dati integrata mortalità giornaliera comunale</w:t>
      </w:r>
    </w:p>
    <w:p w14:paraId="65CA65E6" w14:textId="77777777" w:rsidR="003B0039" w:rsidRPr="00EA6CC4" w:rsidRDefault="003B0039" w:rsidP="00F330BB">
      <w:pPr>
        <w:rPr>
          <w:color w:val="000000" w:themeColor="text1"/>
          <w:sz w:val="20"/>
          <w:szCs w:val="20"/>
        </w:rPr>
      </w:pPr>
    </w:p>
    <w:p w14:paraId="6C6CF8C6" w14:textId="073B5F6C" w:rsidR="001C4730" w:rsidRPr="008C18E8" w:rsidRDefault="001C4730" w:rsidP="001C4730">
      <w:pPr>
        <w:spacing w:line="240" w:lineRule="auto"/>
        <w:rPr>
          <w:b/>
          <w:bCs/>
          <w:color w:val="1F3864" w:themeColor="accent5" w:themeShade="80"/>
          <w:sz w:val="20"/>
          <w:szCs w:val="20"/>
        </w:rPr>
      </w:pPr>
      <w:r w:rsidRPr="008C18E8">
        <w:rPr>
          <w:b/>
          <w:bCs/>
          <w:color w:val="1F3864" w:themeColor="accent5" w:themeShade="80"/>
          <w:sz w:val="20"/>
          <w:szCs w:val="20"/>
        </w:rPr>
        <w:t>Figura 9. Andamento giornaliero nel periodo marzo-aprile dell'eccesso di mortalità totale registrato nel 2020 rispetto alla media degli anni 2015-2019 e dei decessi Covid-19</w:t>
      </w:r>
      <w:r w:rsidR="002531E1">
        <w:rPr>
          <w:b/>
          <w:bCs/>
          <w:color w:val="1F3864" w:themeColor="accent5" w:themeShade="80"/>
          <w:sz w:val="20"/>
          <w:szCs w:val="20"/>
        </w:rPr>
        <w:t xml:space="preserve">. </w:t>
      </w:r>
      <w:r w:rsidR="002531E1" w:rsidRPr="002531E1">
        <w:rPr>
          <w:color w:val="1F3864" w:themeColor="accent5" w:themeShade="80"/>
          <w:sz w:val="20"/>
          <w:szCs w:val="20"/>
        </w:rPr>
        <w:t>V</w:t>
      </w:r>
      <w:r w:rsidRPr="002531E1">
        <w:rPr>
          <w:color w:val="1F3864" w:themeColor="accent5" w:themeShade="80"/>
          <w:sz w:val="20"/>
          <w:szCs w:val="20"/>
        </w:rPr>
        <w:t>alori assoluti dei decessi di persone in età 50 anni e più.</w:t>
      </w:r>
      <w:r w:rsidRPr="008C18E8">
        <w:rPr>
          <w:b/>
          <w:bCs/>
          <w:color w:val="1F3864" w:themeColor="accent5" w:themeShade="80"/>
          <w:sz w:val="20"/>
          <w:szCs w:val="20"/>
        </w:rPr>
        <w:t xml:space="preserve"> Regione LOMBARDIA</w:t>
      </w:r>
    </w:p>
    <w:p w14:paraId="42E6812B" w14:textId="05192259" w:rsidR="008F47B6" w:rsidRPr="00F330BB" w:rsidRDefault="00301DA0" w:rsidP="00F330BB">
      <w:pPr>
        <w:rPr>
          <w:b/>
          <w:color w:val="000000" w:themeColor="text1"/>
        </w:rPr>
      </w:pPr>
      <w:r>
        <w:rPr>
          <w:noProof/>
          <w:lang w:eastAsia="it-IT"/>
        </w:rPr>
        <w:drawing>
          <wp:inline distT="0" distB="0" distL="0" distR="0" wp14:anchorId="304760E3" wp14:editId="7245B16F">
            <wp:extent cx="6120130" cy="2719705"/>
            <wp:effectExtent l="0" t="0" r="13970" b="4445"/>
            <wp:docPr id="1" name="Grafico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1508545" w14:textId="77777777" w:rsidR="00BB2D1C" w:rsidRPr="001B0A82" w:rsidRDefault="00BB2D1C" w:rsidP="00BB2D1C">
      <w:pPr>
        <w:spacing w:after="0"/>
        <w:rPr>
          <w:i/>
          <w:color w:val="000000" w:themeColor="text1"/>
          <w:sz w:val="16"/>
          <w:szCs w:val="16"/>
        </w:rPr>
      </w:pPr>
      <w:r w:rsidRPr="001B0A82">
        <w:rPr>
          <w:i/>
          <w:color w:val="000000" w:themeColor="text1"/>
          <w:sz w:val="16"/>
          <w:szCs w:val="16"/>
        </w:rPr>
        <w:t xml:space="preserve">Fonte: Istat. Base dati integrata mortalità giornaliera comunale, </w:t>
      </w:r>
      <w:proofErr w:type="spellStart"/>
      <w:r w:rsidRPr="001B0A82">
        <w:rPr>
          <w:i/>
          <w:color w:val="000000" w:themeColor="text1"/>
          <w:sz w:val="16"/>
          <w:szCs w:val="16"/>
        </w:rPr>
        <w:t>Iss</w:t>
      </w:r>
      <w:proofErr w:type="spellEnd"/>
      <w:r w:rsidRPr="001B0A82">
        <w:rPr>
          <w:i/>
          <w:color w:val="000000" w:themeColor="text1"/>
          <w:sz w:val="16"/>
          <w:szCs w:val="16"/>
        </w:rPr>
        <w:t xml:space="preserve"> Sistema di sorveglianza integrata Covid-19</w:t>
      </w:r>
    </w:p>
    <w:p w14:paraId="23027E3F" w14:textId="77777777" w:rsidR="00BB2D1C" w:rsidRPr="00D93310" w:rsidRDefault="00BB2D1C" w:rsidP="00F330BB">
      <w:pPr>
        <w:rPr>
          <w:b/>
          <w:color w:val="000000" w:themeColor="text1"/>
          <w:sz w:val="20"/>
          <w:szCs w:val="20"/>
        </w:rPr>
      </w:pPr>
    </w:p>
    <w:p w14:paraId="69E8B227" w14:textId="77777777" w:rsidR="00301DA0" w:rsidRDefault="00301DA0" w:rsidP="001B0A82">
      <w:pPr>
        <w:spacing w:after="120"/>
        <w:rPr>
          <w:color w:val="000000" w:themeColor="text1"/>
        </w:rPr>
      </w:pPr>
      <w:r>
        <w:rPr>
          <w:color w:val="000000" w:themeColor="text1"/>
        </w:rPr>
        <w:br w:type="page"/>
      </w:r>
    </w:p>
    <w:p w14:paraId="7BB743FC" w14:textId="77777777" w:rsidR="00301DA0" w:rsidRDefault="00301DA0" w:rsidP="001B0A82">
      <w:pPr>
        <w:spacing w:after="120"/>
        <w:rPr>
          <w:color w:val="000000" w:themeColor="text1"/>
        </w:rPr>
      </w:pPr>
    </w:p>
    <w:p w14:paraId="611A4A9A" w14:textId="1F077243" w:rsidR="001B0A82" w:rsidRPr="00F330BB" w:rsidRDefault="001B0A82" w:rsidP="001B0A82">
      <w:pPr>
        <w:spacing w:after="120"/>
        <w:rPr>
          <w:color w:val="000000" w:themeColor="text1"/>
        </w:rPr>
      </w:pPr>
      <w:r w:rsidRPr="00C73EAF">
        <w:rPr>
          <w:color w:val="000000" w:themeColor="text1"/>
        </w:rPr>
        <w:t xml:space="preserve">Passando a un dettaglio regionale, la Lombardia resta la </w:t>
      </w:r>
      <w:r>
        <w:rPr>
          <w:color w:val="000000" w:themeColor="text1"/>
        </w:rPr>
        <w:t>r</w:t>
      </w:r>
      <w:r w:rsidRPr="00C73EAF">
        <w:rPr>
          <w:color w:val="000000" w:themeColor="text1"/>
        </w:rPr>
        <w:t>egione più colpita dall’epidemia in termini di casi e di decessi</w:t>
      </w:r>
      <w:r w:rsidR="00C64B5C">
        <w:rPr>
          <w:color w:val="000000" w:themeColor="text1"/>
        </w:rPr>
        <w:t xml:space="preserve">. </w:t>
      </w:r>
      <w:r>
        <w:rPr>
          <w:color w:val="000000" w:themeColor="text1"/>
        </w:rPr>
        <w:t xml:space="preserve">Nella regione </w:t>
      </w:r>
      <w:r w:rsidRPr="00C73EAF">
        <w:rPr>
          <w:color w:val="000000" w:themeColor="text1"/>
        </w:rPr>
        <w:t>si è osservato il 52% dei decessi Covid-19 registrati in Italia al 30 aprile nella Sorveglianza Integrata</w:t>
      </w:r>
      <w:r w:rsidR="00C64B5C">
        <w:rPr>
          <w:color w:val="000000" w:themeColor="text1"/>
        </w:rPr>
        <w:t>. L</w:t>
      </w:r>
      <w:r>
        <w:rPr>
          <w:color w:val="000000" w:themeColor="text1"/>
        </w:rPr>
        <w:t xml:space="preserve">a quota dell’eccesso di mortalità totale spiegata dai </w:t>
      </w:r>
      <w:r w:rsidRPr="00C73EAF">
        <w:rPr>
          <w:color w:val="000000" w:themeColor="text1"/>
        </w:rPr>
        <w:t xml:space="preserve">decessi </w:t>
      </w:r>
      <w:r w:rsidRPr="007E60F7">
        <w:rPr>
          <w:color w:val="000000" w:themeColor="text1"/>
        </w:rPr>
        <w:t>Covid-19 è in media del 58% nell’intero  periodo marzo-aprile; per i decessi degli ultra 50enni tale rapporto aumenta notevolmente nel mese di aprile 69%) (Figura 9).</w:t>
      </w:r>
      <w:r w:rsidRPr="00C73EAF">
        <w:rPr>
          <w:color w:val="000000" w:themeColor="text1"/>
        </w:rPr>
        <w:t xml:space="preserve"> </w:t>
      </w:r>
    </w:p>
    <w:p w14:paraId="48ACE105" w14:textId="77777777" w:rsidR="001B0A82" w:rsidRDefault="001B0A82" w:rsidP="001B0A82">
      <w:pPr>
        <w:spacing w:after="120" w:line="240" w:lineRule="auto"/>
        <w:rPr>
          <w:color w:val="000000" w:themeColor="text1"/>
        </w:rPr>
      </w:pPr>
      <w:r w:rsidRPr="00F330BB">
        <w:rPr>
          <w:color w:val="000000" w:themeColor="text1"/>
        </w:rPr>
        <w:t xml:space="preserve">Osservando l’andamento della </w:t>
      </w:r>
      <w:r>
        <w:rPr>
          <w:color w:val="000000" w:themeColor="text1"/>
        </w:rPr>
        <w:t>r</w:t>
      </w:r>
      <w:r w:rsidRPr="00F330BB">
        <w:rPr>
          <w:color w:val="000000" w:themeColor="text1"/>
        </w:rPr>
        <w:t xml:space="preserve">egione Emilia-Romagna, anch’essa caratterizzata da alta diffusione dell’epidemia, anche in questo caso nel mese di aprile la proporzione dei decessi Covid-19 sull’eccesso di mortalità giornaliera aumenta considerevolmente </w:t>
      </w:r>
      <w:r>
        <w:rPr>
          <w:color w:val="000000" w:themeColor="text1"/>
        </w:rPr>
        <w:t>raggiungendo l’80% tra i decessi di 50 anni e oltre (69% se si considera il periodo marzo-aprile). (Figura 10</w:t>
      </w:r>
      <w:r w:rsidRPr="00F330BB">
        <w:rPr>
          <w:color w:val="000000" w:themeColor="text1"/>
        </w:rPr>
        <w:t>).</w:t>
      </w:r>
    </w:p>
    <w:p w14:paraId="2B4145F3" w14:textId="77777777" w:rsidR="001B0A82" w:rsidRPr="008C18E8" w:rsidRDefault="001B0A82" w:rsidP="001B0A82">
      <w:pPr>
        <w:spacing w:after="120" w:line="240" w:lineRule="auto"/>
        <w:rPr>
          <w:color w:val="000000" w:themeColor="text1"/>
          <w:sz w:val="10"/>
          <w:szCs w:val="10"/>
        </w:rPr>
      </w:pPr>
    </w:p>
    <w:p w14:paraId="0225398C" w14:textId="0E1DAA9D" w:rsidR="001B0A82" w:rsidRPr="008C18E8" w:rsidRDefault="001B0A82" w:rsidP="001B0A82">
      <w:pPr>
        <w:spacing w:line="240" w:lineRule="auto"/>
        <w:rPr>
          <w:b/>
          <w:bCs/>
          <w:color w:val="1F3864" w:themeColor="accent5" w:themeShade="80"/>
          <w:sz w:val="20"/>
          <w:szCs w:val="20"/>
        </w:rPr>
      </w:pPr>
      <w:r w:rsidRPr="008C18E8">
        <w:rPr>
          <w:b/>
          <w:bCs/>
          <w:color w:val="1F3864" w:themeColor="accent5" w:themeShade="80"/>
          <w:sz w:val="20"/>
          <w:szCs w:val="20"/>
        </w:rPr>
        <w:t>Figura 10. Andamento giornaliero nel periodo marzo-aprile dell'eccesso di mortalità totale registrato nel 2020 rispetto alla media degli anni 2015-2019 e dei decessi Covid-19</w:t>
      </w:r>
      <w:r w:rsidR="002531E1">
        <w:rPr>
          <w:b/>
          <w:bCs/>
          <w:color w:val="1F3864" w:themeColor="accent5" w:themeShade="80"/>
          <w:sz w:val="20"/>
          <w:szCs w:val="20"/>
        </w:rPr>
        <w:t xml:space="preserve">. </w:t>
      </w:r>
      <w:r w:rsidR="002531E1" w:rsidRPr="002531E1">
        <w:rPr>
          <w:color w:val="1F3864" w:themeColor="accent5" w:themeShade="80"/>
          <w:sz w:val="20"/>
          <w:szCs w:val="20"/>
        </w:rPr>
        <w:t>V</w:t>
      </w:r>
      <w:r w:rsidRPr="002531E1">
        <w:rPr>
          <w:color w:val="1F3864" w:themeColor="accent5" w:themeShade="80"/>
          <w:sz w:val="20"/>
          <w:szCs w:val="20"/>
        </w:rPr>
        <w:t>alori assoluti dei decessi di persone in età 50 anni e più</w:t>
      </w:r>
      <w:r w:rsidRPr="008C18E8">
        <w:rPr>
          <w:b/>
          <w:bCs/>
          <w:color w:val="1F3864" w:themeColor="accent5" w:themeShade="80"/>
          <w:sz w:val="20"/>
          <w:szCs w:val="20"/>
        </w:rPr>
        <w:t>. Regione EMILIA-ROMAGNA</w:t>
      </w:r>
    </w:p>
    <w:p w14:paraId="3499FC26" w14:textId="58A655CA" w:rsidR="008F47B6" w:rsidRPr="001B2529" w:rsidRDefault="00810463" w:rsidP="00F330BB">
      <w:pPr>
        <w:rPr>
          <w:bCs/>
          <w:color w:val="1F3864" w:themeColor="accent5" w:themeShade="80"/>
        </w:rPr>
      </w:pPr>
      <w:r>
        <w:rPr>
          <w:noProof/>
          <w:lang w:eastAsia="it-IT"/>
        </w:rPr>
        <w:drawing>
          <wp:inline distT="0" distB="0" distL="0" distR="0" wp14:anchorId="003604B9" wp14:editId="6CFD8E02">
            <wp:extent cx="6120130" cy="2719705"/>
            <wp:effectExtent l="0" t="0" r="13970" b="4445"/>
            <wp:docPr id="34" name="Grafico 3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0989E0E" w14:textId="77777777" w:rsidR="00976B74" w:rsidRPr="006938EA" w:rsidRDefault="00976B74" w:rsidP="00976B74">
      <w:pPr>
        <w:spacing w:after="0"/>
        <w:rPr>
          <w:i/>
          <w:color w:val="000000" w:themeColor="text1"/>
          <w:sz w:val="16"/>
          <w:szCs w:val="16"/>
        </w:rPr>
      </w:pPr>
      <w:r w:rsidRPr="006938EA">
        <w:rPr>
          <w:i/>
          <w:color w:val="000000" w:themeColor="text1"/>
          <w:sz w:val="16"/>
          <w:szCs w:val="16"/>
        </w:rPr>
        <w:t xml:space="preserve">Fonte: Istat. Base dati integrata mortalità giornaliera comunale, </w:t>
      </w:r>
      <w:proofErr w:type="spellStart"/>
      <w:r w:rsidRPr="006938EA">
        <w:rPr>
          <w:i/>
          <w:color w:val="000000" w:themeColor="text1"/>
          <w:sz w:val="16"/>
          <w:szCs w:val="16"/>
        </w:rPr>
        <w:t>Iss</w:t>
      </w:r>
      <w:proofErr w:type="spellEnd"/>
      <w:r w:rsidRPr="006938EA">
        <w:rPr>
          <w:i/>
          <w:color w:val="000000" w:themeColor="text1"/>
          <w:sz w:val="16"/>
          <w:szCs w:val="16"/>
        </w:rPr>
        <w:t xml:space="preserve"> Sistema di sorveglianza integrata Covid-19</w:t>
      </w:r>
    </w:p>
    <w:p w14:paraId="0C0F1194" w14:textId="77777777" w:rsidR="00F330BB" w:rsidRPr="00050FE4" w:rsidRDefault="00F330BB" w:rsidP="00F330BB">
      <w:pPr>
        <w:rPr>
          <w:color w:val="000000" w:themeColor="text1"/>
          <w:sz w:val="20"/>
          <w:szCs w:val="20"/>
          <w:highlight w:val="yellow"/>
        </w:rPr>
      </w:pPr>
    </w:p>
    <w:p w14:paraId="0CDE55EC" w14:textId="77777777" w:rsidR="006938EA" w:rsidRDefault="006938EA" w:rsidP="006938EA">
      <w:pPr>
        <w:spacing w:line="240" w:lineRule="auto"/>
        <w:rPr>
          <w:b/>
          <w:color w:val="000000" w:themeColor="text1"/>
          <w:sz w:val="20"/>
          <w:szCs w:val="20"/>
        </w:rPr>
      </w:pPr>
      <w:r>
        <w:rPr>
          <w:color w:val="000000" w:themeColor="text1"/>
        </w:rPr>
        <w:t xml:space="preserve">Risultati analoghi si ottengono considerando le province più colpite dall’epidemia. </w:t>
      </w:r>
      <w:r w:rsidRPr="00F330BB">
        <w:rPr>
          <w:color w:val="000000" w:themeColor="text1"/>
        </w:rPr>
        <w:t xml:space="preserve">Nella </w:t>
      </w:r>
      <w:r>
        <w:rPr>
          <w:color w:val="000000" w:themeColor="text1"/>
        </w:rPr>
        <w:t>p</w:t>
      </w:r>
      <w:r w:rsidRPr="00F330BB">
        <w:rPr>
          <w:color w:val="000000" w:themeColor="text1"/>
        </w:rPr>
        <w:t>rovincia di Bergamo, dove nel m</w:t>
      </w:r>
      <w:r>
        <w:rPr>
          <w:color w:val="000000" w:themeColor="text1"/>
        </w:rPr>
        <w:t>ese di marzo si era osservato l’eccesso di mortalità più</w:t>
      </w:r>
      <w:r w:rsidRPr="00F330BB">
        <w:rPr>
          <w:color w:val="000000" w:themeColor="text1"/>
        </w:rPr>
        <w:t xml:space="preserve"> marcato, la proporzione dei decessi riportati alla sorveglianza Covid-19 sui decessi totali</w:t>
      </w:r>
      <w:r>
        <w:rPr>
          <w:color w:val="000000" w:themeColor="text1"/>
        </w:rPr>
        <w:t xml:space="preserve"> degli ultra 50enni </w:t>
      </w:r>
      <w:r w:rsidRPr="00F330BB">
        <w:rPr>
          <w:color w:val="000000" w:themeColor="text1"/>
        </w:rPr>
        <w:t xml:space="preserve"> è pari al</w:t>
      </w:r>
      <w:r>
        <w:rPr>
          <w:color w:val="000000" w:themeColor="text1"/>
        </w:rPr>
        <w:t xml:space="preserve"> 48% nel periodo marzo-aprile</w:t>
      </w:r>
      <w:r w:rsidRPr="00F330BB">
        <w:rPr>
          <w:color w:val="000000" w:themeColor="text1"/>
        </w:rPr>
        <w:t xml:space="preserve">. </w:t>
      </w:r>
      <w:r>
        <w:rPr>
          <w:color w:val="000000" w:themeColor="text1"/>
        </w:rPr>
        <w:t>(si passa dal 45,5% nel mese di marzo al 63,5% nel mese di aprile).</w:t>
      </w:r>
    </w:p>
    <w:p w14:paraId="12217720" w14:textId="79813C75" w:rsidR="00F226C7" w:rsidRDefault="00F226C7" w:rsidP="00F330BB">
      <w:pPr>
        <w:rPr>
          <w:color w:val="000000" w:themeColor="text1"/>
        </w:rPr>
      </w:pPr>
    </w:p>
    <w:p w14:paraId="6DF95CA5" w14:textId="53AF283A" w:rsidR="006938EA" w:rsidRDefault="006938EA" w:rsidP="00F330BB">
      <w:pPr>
        <w:rPr>
          <w:color w:val="000000" w:themeColor="text1"/>
        </w:rPr>
      </w:pPr>
    </w:p>
    <w:p w14:paraId="67B078F8" w14:textId="2EC218CE" w:rsidR="006938EA" w:rsidRDefault="006938EA" w:rsidP="00F330BB">
      <w:pPr>
        <w:rPr>
          <w:color w:val="000000" w:themeColor="text1"/>
        </w:rPr>
      </w:pPr>
    </w:p>
    <w:p w14:paraId="673E5865" w14:textId="2E12A38E" w:rsidR="006938EA" w:rsidRDefault="006938EA" w:rsidP="00F330BB">
      <w:pPr>
        <w:rPr>
          <w:color w:val="000000" w:themeColor="text1"/>
        </w:rPr>
      </w:pPr>
    </w:p>
    <w:p w14:paraId="48E356E7" w14:textId="6824C77F" w:rsidR="0047122F" w:rsidRDefault="0047122F" w:rsidP="00F330BB">
      <w:pPr>
        <w:rPr>
          <w:color w:val="000000" w:themeColor="text1"/>
        </w:rPr>
      </w:pPr>
      <w:r>
        <w:rPr>
          <w:color w:val="000000" w:themeColor="text1"/>
        </w:rPr>
        <w:br w:type="page"/>
      </w:r>
    </w:p>
    <w:p w14:paraId="66063C2F" w14:textId="77777777" w:rsidR="006938EA" w:rsidRDefault="006938EA" w:rsidP="00F330BB">
      <w:pPr>
        <w:rPr>
          <w:color w:val="000000" w:themeColor="text1"/>
        </w:rPr>
      </w:pPr>
    </w:p>
    <w:p w14:paraId="53053350" w14:textId="30CB8F76" w:rsidR="00F330BB" w:rsidRDefault="006938EA" w:rsidP="00F330BB">
      <w:pPr>
        <w:rPr>
          <w:bCs/>
          <w:color w:val="1F3864" w:themeColor="accent5" w:themeShade="80"/>
        </w:rPr>
      </w:pPr>
      <w:r w:rsidRPr="008C18E8">
        <w:rPr>
          <w:b/>
          <w:bCs/>
          <w:color w:val="1F3864" w:themeColor="accent5" w:themeShade="80"/>
          <w:sz w:val="20"/>
          <w:szCs w:val="20"/>
        </w:rPr>
        <w:t>Figura 11. Andamento giornaliero nel periodo marzo-aprile dell'eccesso di mortalità registrato nel 2020 rispetto alla media degli anni 2015-2019 e dei decessi Covid-19</w:t>
      </w:r>
      <w:r w:rsidR="002531E1">
        <w:rPr>
          <w:b/>
          <w:bCs/>
          <w:color w:val="1F3864" w:themeColor="accent5" w:themeShade="80"/>
          <w:sz w:val="20"/>
          <w:szCs w:val="20"/>
        </w:rPr>
        <w:t xml:space="preserve">. </w:t>
      </w:r>
      <w:r w:rsidR="002531E1" w:rsidRPr="002531E1">
        <w:rPr>
          <w:color w:val="1F3864" w:themeColor="accent5" w:themeShade="80"/>
          <w:sz w:val="20"/>
          <w:szCs w:val="20"/>
        </w:rPr>
        <w:t>V</w:t>
      </w:r>
      <w:r w:rsidRPr="002531E1">
        <w:rPr>
          <w:color w:val="1F3864" w:themeColor="accent5" w:themeShade="80"/>
          <w:sz w:val="20"/>
          <w:szCs w:val="20"/>
        </w:rPr>
        <w:t>alori assoluti dei decessi di persone in età 50 anni e più.</w:t>
      </w:r>
      <w:r w:rsidRPr="008C18E8">
        <w:rPr>
          <w:b/>
          <w:bCs/>
          <w:color w:val="1F3864" w:themeColor="accent5" w:themeShade="80"/>
          <w:sz w:val="20"/>
          <w:szCs w:val="20"/>
        </w:rPr>
        <w:t xml:space="preserve"> Provincia di Bergamo</w:t>
      </w:r>
    </w:p>
    <w:p w14:paraId="15A21069" w14:textId="119CDDFB" w:rsidR="008F47B6" w:rsidRPr="001B2529" w:rsidRDefault="00FA235A" w:rsidP="00F330BB">
      <w:pPr>
        <w:rPr>
          <w:bCs/>
          <w:color w:val="1F3864" w:themeColor="accent5" w:themeShade="80"/>
        </w:rPr>
      </w:pPr>
      <w:r>
        <w:rPr>
          <w:noProof/>
          <w:lang w:eastAsia="it-IT"/>
        </w:rPr>
        <w:drawing>
          <wp:inline distT="0" distB="0" distL="0" distR="0" wp14:anchorId="49FCA02E" wp14:editId="7731A72F">
            <wp:extent cx="6120130" cy="2719705"/>
            <wp:effectExtent l="0" t="0" r="13970" b="4445"/>
            <wp:docPr id="20" name="Grafico 2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BD986BB" w14:textId="77777777" w:rsidR="00976B74" w:rsidRPr="006938EA" w:rsidRDefault="00976B74" w:rsidP="00976B74">
      <w:pPr>
        <w:spacing w:after="0"/>
        <w:rPr>
          <w:i/>
          <w:color w:val="000000" w:themeColor="text1"/>
          <w:sz w:val="16"/>
          <w:szCs w:val="16"/>
        </w:rPr>
      </w:pPr>
      <w:r w:rsidRPr="006938EA">
        <w:rPr>
          <w:i/>
          <w:color w:val="000000" w:themeColor="text1"/>
          <w:sz w:val="16"/>
          <w:szCs w:val="16"/>
        </w:rPr>
        <w:t xml:space="preserve">Fonte: Istat. Base dati integrata mortalità giornaliera comunale, </w:t>
      </w:r>
      <w:proofErr w:type="spellStart"/>
      <w:r w:rsidRPr="006938EA">
        <w:rPr>
          <w:i/>
          <w:color w:val="000000" w:themeColor="text1"/>
          <w:sz w:val="16"/>
          <w:szCs w:val="16"/>
        </w:rPr>
        <w:t>Iss</w:t>
      </w:r>
      <w:proofErr w:type="spellEnd"/>
      <w:r w:rsidRPr="006938EA">
        <w:rPr>
          <w:i/>
          <w:color w:val="000000" w:themeColor="text1"/>
          <w:sz w:val="16"/>
          <w:szCs w:val="16"/>
        </w:rPr>
        <w:t xml:space="preserve"> Sistema di sorveglianza integrata Covid-19</w:t>
      </w:r>
    </w:p>
    <w:p w14:paraId="7729E66C" w14:textId="77777777" w:rsidR="006938EA" w:rsidRDefault="006938EA" w:rsidP="00F330BB">
      <w:pPr>
        <w:rPr>
          <w:b/>
          <w:bCs/>
          <w:color w:val="1F3864" w:themeColor="accent5" w:themeShade="80"/>
        </w:rPr>
      </w:pPr>
    </w:p>
    <w:p w14:paraId="1FA8E1E8" w14:textId="24C7E5A5" w:rsidR="006938EA" w:rsidRDefault="006938EA" w:rsidP="00F330BB">
      <w:pPr>
        <w:rPr>
          <w:b/>
          <w:bCs/>
          <w:color w:val="1F3864" w:themeColor="accent5" w:themeShade="80"/>
        </w:rPr>
      </w:pPr>
      <w:r w:rsidRPr="00F330BB">
        <w:rPr>
          <w:color w:val="000000" w:themeColor="text1"/>
        </w:rPr>
        <w:t>Anche nella Provincia di Piacenza</w:t>
      </w:r>
      <w:r>
        <w:rPr>
          <w:color w:val="000000" w:themeColor="text1"/>
        </w:rPr>
        <w:t xml:space="preserve"> il contributo dei decessi Covid-19 alla spiegazione dell’eccesso aumenta nel mese di aprile (84% nel mese di aprile, 72% considerando il periodo marzo-aprile),</w:t>
      </w:r>
      <w:r w:rsidRPr="00F330BB" w:rsidDel="001F2F92">
        <w:rPr>
          <w:color w:val="000000" w:themeColor="text1"/>
        </w:rPr>
        <w:t xml:space="preserve"> </w:t>
      </w:r>
      <w:r w:rsidRPr="00F330BB">
        <w:rPr>
          <w:color w:val="000000" w:themeColor="text1"/>
        </w:rPr>
        <w:t>fino a superare i valori giornalieri stimati in eccesso</w:t>
      </w:r>
      <w:r>
        <w:rPr>
          <w:color w:val="000000" w:themeColor="text1"/>
        </w:rPr>
        <w:t>. (Figura 12</w:t>
      </w:r>
      <w:r w:rsidRPr="00F330BB">
        <w:rPr>
          <w:color w:val="000000" w:themeColor="text1"/>
        </w:rPr>
        <w:t>)</w:t>
      </w:r>
      <w:r>
        <w:rPr>
          <w:color w:val="000000" w:themeColor="text1"/>
        </w:rPr>
        <w:t>.</w:t>
      </w:r>
    </w:p>
    <w:p w14:paraId="1131DF06" w14:textId="77777777" w:rsidR="00FA235A" w:rsidRDefault="00FA235A" w:rsidP="00F330BB">
      <w:pPr>
        <w:rPr>
          <w:b/>
          <w:bCs/>
          <w:color w:val="1F3864" w:themeColor="accent5" w:themeShade="80"/>
          <w:sz w:val="20"/>
          <w:szCs w:val="20"/>
        </w:rPr>
      </w:pPr>
      <w:bookmarkStart w:id="0" w:name="_GoBack"/>
      <w:bookmarkEnd w:id="0"/>
    </w:p>
    <w:p w14:paraId="696CFFFB" w14:textId="046BF626" w:rsidR="00FA235A" w:rsidRDefault="006938EA" w:rsidP="00F330BB">
      <w:pPr>
        <w:rPr>
          <w:b/>
          <w:bCs/>
          <w:color w:val="1F3864" w:themeColor="accent5" w:themeShade="80"/>
          <w:sz w:val="20"/>
          <w:szCs w:val="20"/>
        </w:rPr>
      </w:pPr>
      <w:r w:rsidRPr="008C18E8">
        <w:rPr>
          <w:b/>
          <w:bCs/>
          <w:color w:val="1F3864" w:themeColor="accent5" w:themeShade="80"/>
          <w:sz w:val="20"/>
          <w:szCs w:val="20"/>
        </w:rPr>
        <w:t>Figura 12. Andamento giornaliero nel periodo marzo-aprile dell'eccesso di mortalità registrato nel 2020 rispetto alla media degli anni 2015-2019 e dei decessi Covid-19</w:t>
      </w:r>
      <w:r w:rsidR="002531E1">
        <w:rPr>
          <w:b/>
          <w:bCs/>
          <w:color w:val="1F3864" w:themeColor="accent5" w:themeShade="80"/>
          <w:sz w:val="20"/>
          <w:szCs w:val="20"/>
        </w:rPr>
        <w:t xml:space="preserve">. </w:t>
      </w:r>
      <w:r w:rsidR="002531E1" w:rsidRPr="002531E1">
        <w:rPr>
          <w:color w:val="1F3864" w:themeColor="accent5" w:themeShade="80"/>
          <w:sz w:val="20"/>
          <w:szCs w:val="20"/>
        </w:rPr>
        <w:t>V</w:t>
      </w:r>
      <w:r w:rsidRPr="002531E1">
        <w:rPr>
          <w:color w:val="1F3864" w:themeColor="accent5" w:themeShade="80"/>
          <w:sz w:val="20"/>
          <w:szCs w:val="20"/>
        </w:rPr>
        <w:t xml:space="preserve">alori assoluti dei decessi di persone in età 50 anni e più. </w:t>
      </w:r>
      <w:r w:rsidRPr="008C18E8">
        <w:rPr>
          <w:b/>
          <w:bCs/>
          <w:color w:val="1F3864" w:themeColor="accent5" w:themeShade="80"/>
          <w:sz w:val="20"/>
          <w:szCs w:val="20"/>
        </w:rPr>
        <w:t>Provincia di Piacenza</w:t>
      </w:r>
    </w:p>
    <w:p w14:paraId="0124BF7F" w14:textId="15A535D3" w:rsidR="008F47B6" w:rsidRPr="001B2529" w:rsidRDefault="00FA235A" w:rsidP="00F330BB">
      <w:pPr>
        <w:rPr>
          <w:bCs/>
          <w:color w:val="1F3864" w:themeColor="accent5" w:themeShade="80"/>
        </w:rPr>
      </w:pPr>
      <w:r>
        <w:rPr>
          <w:noProof/>
          <w:lang w:eastAsia="it-IT"/>
        </w:rPr>
        <w:drawing>
          <wp:inline distT="0" distB="0" distL="0" distR="0" wp14:anchorId="7EEA4ED2" wp14:editId="57A1C694">
            <wp:extent cx="6120130" cy="2719705"/>
            <wp:effectExtent l="0" t="0" r="13970" b="4445"/>
            <wp:docPr id="25" name="Grafico 2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5E84B29" w14:textId="286F157F" w:rsidR="00FA235A" w:rsidRDefault="00976B74" w:rsidP="00976B74">
      <w:pPr>
        <w:spacing w:after="0"/>
        <w:rPr>
          <w:i/>
          <w:color w:val="000000" w:themeColor="text1"/>
          <w:sz w:val="16"/>
          <w:szCs w:val="16"/>
        </w:rPr>
      </w:pPr>
      <w:r w:rsidRPr="006938EA">
        <w:rPr>
          <w:i/>
          <w:color w:val="000000" w:themeColor="text1"/>
          <w:sz w:val="16"/>
          <w:szCs w:val="16"/>
        </w:rPr>
        <w:t xml:space="preserve">Fonte: Istat. Base dati integrata mortalità giornaliera comunale, </w:t>
      </w:r>
      <w:proofErr w:type="spellStart"/>
      <w:r w:rsidRPr="006938EA">
        <w:rPr>
          <w:i/>
          <w:color w:val="000000" w:themeColor="text1"/>
          <w:sz w:val="16"/>
          <w:szCs w:val="16"/>
        </w:rPr>
        <w:t>Iss</w:t>
      </w:r>
      <w:proofErr w:type="spellEnd"/>
      <w:r w:rsidRPr="006938EA">
        <w:rPr>
          <w:i/>
          <w:color w:val="000000" w:themeColor="text1"/>
          <w:sz w:val="16"/>
          <w:szCs w:val="16"/>
        </w:rPr>
        <w:t xml:space="preserve"> Sistema di sorveglianza integrata Covid-19</w:t>
      </w:r>
      <w:r w:rsidR="00FA235A">
        <w:rPr>
          <w:i/>
          <w:color w:val="000000" w:themeColor="text1"/>
          <w:sz w:val="16"/>
          <w:szCs w:val="16"/>
        </w:rPr>
        <w:br w:type="page"/>
      </w:r>
    </w:p>
    <w:p w14:paraId="24BE73BF" w14:textId="77777777" w:rsidR="008C660A" w:rsidRDefault="008C660A" w:rsidP="00976B74">
      <w:pPr>
        <w:rPr>
          <w:color w:val="000000" w:themeColor="text1"/>
        </w:rPr>
      </w:pPr>
    </w:p>
    <w:p w14:paraId="328CFD4B" w14:textId="1FBE2863" w:rsidR="00F330BB" w:rsidRPr="00A547C2" w:rsidRDefault="00342070" w:rsidP="00342070">
      <w:pPr>
        <w:rPr>
          <w:rFonts w:ascii="Arial Narrow" w:hAnsi="Arial Narrow"/>
          <w:b/>
          <w:bCs/>
          <w:iCs w:val="0"/>
          <w:color w:val="1F3864" w:themeColor="accent5" w:themeShade="80"/>
          <w:sz w:val="32"/>
          <w:szCs w:val="32"/>
        </w:rPr>
      </w:pPr>
      <w:r w:rsidRPr="00A547C2">
        <w:rPr>
          <w:rFonts w:ascii="Arial Narrow" w:hAnsi="Arial Narrow"/>
          <w:b/>
          <w:bCs/>
          <w:iCs w:val="0"/>
          <w:color w:val="1F3864" w:themeColor="accent5" w:themeShade="80"/>
          <w:sz w:val="32"/>
          <w:szCs w:val="32"/>
        </w:rPr>
        <w:t>I</w:t>
      </w:r>
      <w:r w:rsidR="00F330BB" w:rsidRPr="00A547C2">
        <w:rPr>
          <w:rFonts w:ascii="Arial Narrow" w:hAnsi="Arial Narrow"/>
          <w:b/>
          <w:bCs/>
          <w:iCs w:val="0"/>
          <w:color w:val="1F3864" w:themeColor="accent5" w:themeShade="80"/>
          <w:sz w:val="32"/>
          <w:szCs w:val="32"/>
        </w:rPr>
        <w:t xml:space="preserve">l contributo </w:t>
      </w:r>
      <w:r w:rsidRPr="00A547C2">
        <w:rPr>
          <w:rFonts w:ascii="Arial Narrow" w:hAnsi="Arial Narrow"/>
          <w:b/>
          <w:bCs/>
          <w:iCs w:val="0"/>
          <w:color w:val="1F3864" w:themeColor="accent5" w:themeShade="80"/>
          <w:sz w:val="32"/>
          <w:szCs w:val="32"/>
        </w:rPr>
        <w:t xml:space="preserve">dei decessi Covid-19 all’eccesso di mortalità per età </w:t>
      </w:r>
    </w:p>
    <w:p w14:paraId="126EDD2B" w14:textId="77777777" w:rsidR="006938EA" w:rsidRPr="00F330BB" w:rsidRDefault="006938EA" w:rsidP="006938EA">
      <w:pPr>
        <w:spacing w:line="240" w:lineRule="auto"/>
        <w:rPr>
          <w:color w:val="000000" w:themeColor="text1"/>
        </w:rPr>
      </w:pPr>
      <w:r w:rsidRPr="00F330BB">
        <w:rPr>
          <w:color w:val="000000" w:themeColor="text1"/>
        </w:rPr>
        <w:t>Scomponendo l’eccesso di mortalità per classi di età</w:t>
      </w:r>
      <w:r>
        <w:rPr>
          <w:color w:val="000000" w:themeColor="text1"/>
        </w:rPr>
        <w:t>,</w:t>
      </w:r>
      <w:r w:rsidRPr="00F330BB">
        <w:rPr>
          <w:color w:val="000000" w:themeColor="text1"/>
        </w:rPr>
        <w:t xml:space="preserve"> il contributo del Covid-19 alla spiegazione dell’eccesso di mortalità aumenta nelle ultime settimane di osservazione</w:t>
      </w:r>
      <w:r>
        <w:rPr>
          <w:color w:val="000000" w:themeColor="text1"/>
        </w:rPr>
        <w:t xml:space="preserve"> </w:t>
      </w:r>
      <w:r w:rsidRPr="00F330BB">
        <w:rPr>
          <w:color w:val="000000" w:themeColor="text1"/>
        </w:rPr>
        <w:t>in entrambi i generi</w:t>
      </w:r>
      <w:r>
        <w:rPr>
          <w:color w:val="000000" w:themeColor="text1"/>
        </w:rPr>
        <w:t>;</w:t>
      </w:r>
      <w:r w:rsidRPr="00F330BB">
        <w:rPr>
          <w:color w:val="000000" w:themeColor="text1"/>
        </w:rPr>
        <w:t xml:space="preserve"> infatti i decessi Covid-19 spiegano il 95% dei decessi in eccesso nella classe di età 60-69, l’80% nella classe 70-79, il 57% </w:t>
      </w:r>
      <w:r>
        <w:rPr>
          <w:color w:val="000000" w:themeColor="text1"/>
        </w:rPr>
        <w:t>in quella</w:t>
      </w:r>
      <w:r w:rsidRPr="00F330BB">
        <w:rPr>
          <w:color w:val="000000" w:themeColor="text1"/>
        </w:rPr>
        <w:t xml:space="preserve"> 80-89 e il 34% nei deceduti di 90 anni e oltre. Queste percentuali </w:t>
      </w:r>
      <w:r w:rsidRPr="008D3020">
        <w:rPr>
          <w:color w:val="000000" w:themeColor="text1"/>
        </w:rPr>
        <w:t>sono diverse se si guardano i due sessi separati: per il genere maschile i decessi Covid-19 contribuiscono al 40% tra i 90 anni e oltre, mentre i decessi femminili Covid-19 ricoprono quasi la totalità dell’eccesso nella classe 60-69 (99%), il 32% nella classe 90 anni e oltre</w:t>
      </w:r>
      <w:r w:rsidRPr="00571733">
        <w:rPr>
          <w:color w:val="000000" w:themeColor="text1"/>
        </w:rPr>
        <w:t>.</w:t>
      </w:r>
    </w:p>
    <w:p w14:paraId="2C92F335" w14:textId="77777777" w:rsidR="007039EB" w:rsidRDefault="007039EB" w:rsidP="006938EA">
      <w:pPr>
        <w:rPr>
          <w:b/>
          <w:bCs/>
          <w:color w:val="1F3864" w:themeColor="accent5" w:themeShade="80"/>
          <w:sz w:val="20"/>
          <w:szCs w:val="20"/>
        </w:rPr>
      </w:pPr>
    </w:p>
    <w:p w14:paraId="3CC35C14" w14:textId="52012B44" w:rsidR="00F330BB" w:rsidRPr="001B2529" w:rsidRDefault="006938EA" w:rsidP="006938EA">
      <w:pPr>
        <w:rPr>
          <w:bCs/>
          <w:color w:val="1F3864" w:themeColor="accent5" w:themeShade="80"/>
        </w:rPr>
      </w:pPr>
      <w:r w:rsidRPr="008C18E8">
        <w:rPr>
          <w:b/>
          <w:bCs/>
          <w:color w:val="1F3864" w:themeColor="accent5" w:themeShade="80"/>
          <w:sz w:val="20"/>
          <w:szCs w:val="20"/>
        </w:rPr>
        <w:t>Figura 13. Andamento settimanale nel periodo marzo-aprile della quota di mortalità maschile 2020, in eccesso rispetto alla media 2015-2019, coperta dai decessi Covid-19</w:t>
      </w:r>
      <w:r w:rsidR="002531E1">
        <w:rPr>
          <w:b/>
          <w:bCs/>
          <w:color w:val="1F3864" w:themeColor="accent5" w:themeShade="80"/>
          <w:sz w:val="20"/>
          <w:szCs w:val="20"/>
        </w:rPr>
        <w:t xml:space="preserve">. </w:t>
      </w:r>
      <w:r w:rsidR="002531E1" w:rsidRPr="002531E1">
        <w:rPr>
          <w:color w:val="1F3864" w:themeColor="accent5" w:themeShade="80"/>
          <w:sz w:val="20"/>
          <w:szCs w:val="20"/>
        </w:rPr>
        <w:t>V</w:t>
      </w:r>
      <w:r w:rsidRPr="002531E1">
        <w:rPr>
          <w:color w:val="1F3864" w:themeColor="accent5" w:themeShade="80"/>
          <w:sz w:val="20"/>
          <w:szCs w:val="20"/>
        </w:rPr>
        <w:t>alori assoluti per classe di età a partire dai 50 anni.</w:t>
      </w:r>
      <w:r w:rsidRPr="008C18E8">
        <w:rPr>
          <w:b/>
          <w:bCs/>
          <w:color w:val="1F3864" w:themeColor="accent5" w:themeShade="80"/>
          <w:sz w:val="20"/>
          <w:szCs w:val="20"/>
        </w:rPr>
        <w:t xml:space="preserve"> Province con </w:t>
      </w:r>
      <w:r w:rsidR="007C044F">
        <w:rPr>
          <w:b/>
          <w:bCs/>
          <w:color w:val="1F3864" w:themeColor="accent5" w:themeShade="80"/>
          <w:sz w:val="20"/>
          <w:szCs w:val="20"/>
        </w:rPr>
        <w:t>a</w:t>
      </w:r>
      <w:r w:rsidRPr="008C18E8">
        <w:rPr>
          <w:b/>
          <w:bCs/>
          <w:color w:val="1F3864" w:themeColor="accent5" w:themeShade="80"/>
          <w:sz w:val="20"/>
          <w:szCs w:val="20"/>
        </w:rPr>
        <w:t>lto livello di diffusione Covid-19.</w:t>
      </w:r>
    </w:p>
    <w:p w14:paraId="2DB03572" w14:textId="7B6C36F0" w:rsidR="00F330BB" w:rsidRPr="00050FE4" w:rsidRDefault="007039EB" w:rsidP="00F330BB">
      <w:pPr>
        <w:rPr>
          <w:b/>
          <w:color w:val="000000" w:themeColor="text1"/>
          <w:sz w:val="20"/>
          <w:szCs w:val="20"/>
        </w:rPr>
      </w:pPr>
      <w:r>
        <w:rPr>
          <w:noProof/>
          <w:lang w:eastAsia="it-IT"/>
        </w:rPr>
        <w:drawing>
          <wp:inline distT="0" distB="0" distL="0" distR="0" wp14:anchorId="018485CF" wp14:editId="45179032">
            <wp:extent cx="6120130" cy="2880000"/>
            <wp:effectExtent l="0" t="0" r="13970" b="15875"/>
            <wp:docPr id="26" name="Grafico 2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E173DD8" w14:textId="77777777" w:rsidR="00976B74" w:rsidRPr="006938EA" w:rsidRDefault="00976B74" w:rsidP="00976B74">
      <w:pPr>
        <w:spacing w:after="0"/>
        <w:rPr>
          <w:i/>
          <w:color w:val="000000" w:themeColor="text1"/>
          <w:sz w:val="16"/>
          <w:szCs w:val="16"/>
        </w:rPr>
      </w:pPr>
      <w:r w:rsidRPr="006938EA">
        <w:rPr>
          <w:i/>
          <w:color w:val="000000" w:themeColor="text1"/>
          <w:sz w:val="16"/>
          <w:szCs w:val="16"/>
        </w:rPr>
        <w:t xml:space="preserve">Fonte: Istat. Base dati integrata mortalità giornaliera comunale, </w:t>
      </w:r>
      <w:proofErr w:type="spellStart"/>
      <w:r w:rsidRPr="006938EA">
        <w:rPr>
          <w:i/>
          <w:color w:val="000000" w:themeColor="text1"/>
          <w:sz w:val="16"/>
          <w:szCs w:val="16"/>
        </w:rPr>
        <w:t>Iss</w:t>
      </w:r>
      <w:proofErr w:type="spellEnd"/>
      <w:r w:rsidRPr="006938EA">
        <w:rPr>
          <w:i/>
          <w:color w:val="000000" w:themeColor="text1"/>
          <w:sz w:val="16"/>
          <w:szCs w:val="16"/>
        </w:rPr>
        <w:t xml:space="preserve"> Sistema di sorveglianza integrata Covid-19</w:t>
      </w:r>
    </w:p>
    <w:p w14:paraId="4CAC5AB7" w14:textId="77777777" w:rsidR="00976B74" w:rsidRDefault="00976B74" w:rsidP="00F330BB">
      <w:pPr>
        <w:rPr>
          <w:b/>
          <w:color w:val="000000" w:themeColor="text1"/>
        </w:rPr>
      </w:pPr>
    </w:p>
    <w:p w14:paraId="55353DFC" w14:textId="77777777" w:rsidR="007039EB" w:rsidRDefault="007039EB" w:rsidP="006938EA">
      <w:pPr>
        <w:spacing w:line="240" w:lineRule="auto"/>
        <w:rPr>
          <w:b/>
          <w:bCs/>
          <w:color w:val="1F3864" w:themeColor="accent5" w:themeShade="80"/>
          <w:sz w:val="20"/>
          <w:szCs w:val="20"/>
        </w:rPr>
      </w:pPr>
      <w:r>
        <w:rPr>
          <w:b/>
          <w:bCs/>
          <w:color w:val="1F3864" w:themeColor="accent5" w:themeShade="80"/>
          <w:sz w:val="20"/>
          <w:szCs w:val="20"/>
        </w:rPr>
        <w:br w:type="page"/>
      </w:r>
    </w:p>
    <w:p w14:paraId="38774C11" w14:textId="77777777" w:rsidR="007039EB" w:rsidRDefault="007039EB" w:rsidP="006938EA">
      <w:pPr>
        <w:spacing w:line="240" w:lineRule="auto"/>
        <w:rPr>
          <w:b/>
          <w:bCs/>
          <w:color w:val="1F3864" w:themeColor="accent5" w:themeShade="80"/>
          <w:sz w:val="20"/>
          <w:szCs w:val="20"/>
        </w:rPr>
      </w:pPr>
    </w:p>
    <w:p w14:paraId="289AC29F" w14:textId="4990B70F" w:rsidR="00F330BB" w:rsidRDefault="006938EA" w:rsidP="006938EA">
      <w:pPr>
        <w:spacing w:line="240" w:lineRule="auto"/>
        <w:rPr>
          <w:bCs/>
          <w:color w:val="1F3864" w:themeColor="accent5" w:themeShade="80"/>
        </w:rPr>
      </w:pPr>
      <w:r w:rsidRPr="008C18E8">
        <w:rPr>
          <w:b/>
          <w:bCs/>
          <w:color w:val="1F3864" w:themeColor="accent5" w:themeShade="80"/>
          <w:sz w:val="20"/>
          <w:szCs w:val="20"/>
        </w:rPr>
        <w:t>Figura 14. Andamento settimanale nel periodo marzo-aprile della quota di mortalità femminile 2020 in eccesso rispetto alla media 2015-2019 coperta dai decessi Covid-19</w:t>
      </w:r>
      <w:r w:rsidR="002531E1">
        <w:rPr>
          <w:b/>
          <w:bCs/>
          <w:color w:val="1F3864" w:themeColor="accent5" w:themeShade="80"/>
          <w:sz w:val="20"/>
          <w:szCs w:val="20"/>
        </w:rPr>
        <w:t xml:space="preserve">. </w:t>
      </w:r>
      <w:r w:rsidR="002531E1" w:rsidRPr="002531E1">
        <w:rPr>
          <w:color w:val="1F3864" w:themeColor="accent5" w:themeShade="80"/>
          <w:sz w:val="20"/>
          <w:szCs w:val="20"/>
        </w:rPr>
        <w:t>V</w:t>
      </w:r>
      <w:r w:rsidRPr="002531E1">
        <w:rPr>
          <w:color w:val="1F3864" w:themeColor="accent5" w:themeShade="80"/>
          <w:sz w:val="20"/>
          <w:szCs w:val="20"/>
        </w:rPr>
        <w:t>alori assoluti per classe di età a partire dai 50 anni.</w:t>
      </w:r>
      <w:r w:rsidRPr="008C18E8">
        <w:rPr>
          <w:b/>
          <w:bCs/>
          <w:color w:val="1F3864" w:themeColor="accent5" w:themeShade="80"/>
          <w:sz w:val="20"/>
          <w:szCs w:val="20"/>
        </w:rPr>
        <w:t xml:space="preserve"> Province con alto livello di diffusione Covid-19.</w:t>
      </w:r>
    </w:p>
    <w:p w14:paraId="732B9F97" w14:textId="638A4383" w:rsidR="008F47B6" w:rsidRPr="001B2529" w:rsidRDefault="007039EB" w:rsidP="00F330BB">
      <w:pPr>
        <w:rPr>
          <w:bCs/>
          <w:color w:val="1F3864" w:themeColor="accent5" w:themeShade="80"/>
        </w:rPr>
      </w:pPr>
      <w:r>
        <w:rPr>
          <w:noProof/>
          <w:lang w:eastAsia="it-IT"/>
        </w:rPr>
        <w:drawing>
          <wp:inline distT="0" distB="0" distL="0" distR="0" wp14:anchorId="4A4CE563" wp14:editId="74A78B15">
            <wp:extent cx="6120130" cy="2880000"/>
            <wp:effectExtent l="0" t="0" r="13970" b="15875"/>
            <wp:docPr id="28" name="Grafico 2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F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58FAE44" w14:textId="452ED8DF" w:rsidR="00F330BB" w:rsidRDefault="00976B74" w:rsidP="006938EA">
      <w:pPr>
        <w:spacing w:after="0"/>
        <w:rPr>
          <w:b/>
          <w:color w:val="000000" w:themeColor="text1"/>
          <w:sz w:val="24"/>
          <w:szCs w:val="24"/>
        </w:rPr>
      </w:pPr>
      <w:r w:rsidRPr="006938EA">
        <w:rPr>
          <w:i/>
          <w:color w:val="000000" w:themeColor="text1"/>
          <w:sz w:val="16"/>
          <w:szCs w:val="16"/>
        </w:rPr>
        <w:t xml:space="preserve">Fonte: Istat. Base dati integrata mortalità giornaliera comunale, </w:t>
      </w:r>
      <w:proofErr w:type="spellStart"/>
      <w:r w:rsidRPr="006938EA">
        <w:rPr>
          <w:i/>
          <w:color w:val="000000" w:themeColor="text1"/>
          <w:sz w:val="16"/>
          <w:szCs w:val="16"/>
        </w:rPr>
        <w:t>Iss</w:t>
      </w:r>
      <w:proofErr w:type="spellEnd"/>
      <w:r w:rsidRPr="006938EA">
        <w:rPr>
          <w:i/>
          <w:color w:val="000000" w:themeColor="text1"/>
          <w:sz w:val="16"/>
          <w:szCs w:val="16"/>
        </w:rPr>
        <w:t xml:space="preserve"> Sistema di sorveglianza integrata Covid-19</w:t>
      </w:r>
    </w:p>
    <w:p w14:paraId="0A9068B4" w14:textId="77777777" w:rsidR="007039EB" w:rsidRDefault="00976B74" w:rsidP="006938EA">
      <w:pPr>
        <w:jc w:val="left"/>
        <w:rPr>
          <w:b/>
          <w:color w:val="000000" w:themeColor="text1"/>
          <w:sz w:val="24"/>
          <w:szCs w:val="24"/>
        </w:rPr>
      </w:pPr>
      <w:r>
        <w:rPr>
          <w:b/>
          <w:color w:val="000000" w:themeColor="text1"/>
          <w:sz w:val="24"/>
          <w:szCs w:val="24"/>
        </w:rPr>
        <w:br w:type="page"/>
      </w:r>
    </w:p>
    <w:p w14:paraId="5D5A4E08" w14:textId="77777777" w:rsidR="007039EB" w:rsidRDefault="007039EB" w:rsidP="006938EA">
      <w:pPr>
        <w:jc w:val="left"/>
        <w:rPr>
          <w:rFonts w:ascii="Arial Narrow" w:hAnsi="Arial Narrow"/>
          <w:b/>
          <w:bCs/>
          <w:iCs w:val="0"/>
          <w:color w:val="1F3864" w:themeColor="accent5" w:themeShade="80"/>
          <w:sz w:val="32"/>
          <w:szCs w:val="32"/>
        </w:rPr>
      </w:pPr>
    </w:p>
    <w:p w14:paraId="350638B0" w14:textId="610D7BFC" w:rsidR="006938EA" w:rsidRDefault="00447FF0" w:rsidP="006938EA">
      <w:pPr>
        <w:jc w:val="left"/>
        <w:rPr>
          <w:rFonts w:ascii="Arial Narrow" w:hAnsi="Arial Narrow"/>
          <w:b/>
          <w:bCs/>
          <w:iCs w:val="0"/>
          <w:color w:val="1F3864" w:themeColor="accent5" w:themeShade="80"/>
          <w:sz w:val="32"/>
          <w:szCs w:val="32"/>
        </w:rPr>
      </w:pPr>
      <w:r w:rsidRPr="00A072C3">
        <w:rPr>
          <w:rFonts w:ascii="Arial Narrow" w:hAnsi="Arial Narrow"/>
          <w:b/>
          <w:bCs/>
          <w:iCs w:val="0"/>
          <w:color w:val="1F3864" w:themeColor="accent5" w:themeShade="80"/>
          <w:sz w:val="32"/>
          <w:szCs w:val="32"/>
        </w:rPr>
        <w:t>Nota metodologica</w:t>
      </w:r>
    </w:p>
    <w:p w14:paraId="1FCFE1A6" w14:textId="77777777" w:rsidR="00447FF0" w:rsidRPr="00E75BE9" w:rsidRDefault="00447FF0" w:rsidP="00447FF0">
      <w:pPr>
        <w:pStyle w:val="Paragrafoelenco"/>
        <w:numPr>
          <w:ilvl w:val="0"/>
          <w:numId w:val="11"/>
        </w:numPr>
        <w:rPr>
          <w:b/>
          <w:bCs/>
          <w:sz w:val="24"/>
          <w:szCs w:val="24"/>
        </w:rPr>
      </w:pPr>
      <w:r w:rsidRPr="00E75BE9">
        <w:rPr>
          <w:b/>
          <w:bCs/>
          <w:sz w:val="24"/>
          <w:szCs w:val="24"/>
        </w:rPr>
        <w:t xml:space="preserve">La </w:t>
      </w:r>
      <w:r>
        <w:rPr>
          <w:b/>
          <w:bCs/>
          <w:sz w:val="24"/>
          <w:szCs w:val="24"/>
        </w:rPr>
        <w:t xml:space="preserve">nuova </w:t>
      </w:r>
      <w:r w:rsidRPr="00E75BE9">
        <w:rPr>
          <w:b/>
          <w:bCs/>
          <w:sz w:val="24"/>
          <w:szCs w:val="24"/>
        </w:rPr>
        <w:t>base dati di mortalità giornaliera della popolazione residente</w:t>
      </w:r>
    </w:p>
    <w:p w14:paraId="05106311" w14:textId="225A24C7" w:rsidR="00447FF0" w:rsidRPr="00253F4A" w:rsidRDefault="00447FF0" w:rsidP="00447FF0">
      <w:pPr>
        <w:rPr>
          <w:bCs/>
        </w:rPr>
      </w:pPr>
      <w:r w:rsidRPr="00253F4A">
        <w:rPr>
          <w:bCs/>
        </w:rPr>
        <w:t>L’Istat, grazie all</w:t>
      </w:r>
      <w:r w:rsidR="00114073">
        <w:rPr>
          <w:bCs/>
        </w:rPr>
        <w:t xml:space="preserve">a collaborazione </w:t>
      </w:r>
      <w:r w:rsidRPr="00253F4A">
        <w:rPr>
          <w:bCs/>
        </w:rPr>
        <w:t xml:space="preserve"> attivat</w:t>
      </w:r>
      <w:r w:rsidR="00114073">
        <w:rPr>
          <w:bCs/>
        </w:rPr>
        <w:t>a</w:t>
      </w:r>
      <w:r w:rsidRPr="00253F4A">
        <w:rPr>
          <w:bCs/>
        </w:rPr>
        <w:t xml:space="preserve"> con il Ministero dell’Interno per l’acquisizione tempestiva dei dati ANPR (Anagrafe Nazionale della Popolazione Residente) e </w:t>
      </w:r>
      <w:r w:rsidR="00114073">
        <w:rPr>
          <w:bCs/>
        </w:rPr>
        <w:t>con il</w:t>
      </w:r>
      <w:r w:rsidRPr="00253F4A">
        <w:rPr>
          <w:bCs/>
        </w:rPr>
        <w:t xml:space="preserve"> Ministero dell’economia e delle finanze per l’acquisizione del flusso dei deceduti tramite l’Anagrafe Tributaria, è in grado di contribuire alla diffusione di informazioni utili alla comprensione della situazione legata all’emergenza sanitaria da COVID-19. L’utilizzo a fini statistici, e il relativo trattamento delle informazioni permette </w:t>
      </w:r>
      <w:r w:rsidR="00114073">
        <w:rPr>
          <w:bCs/>
        </w:rPr>
        <w:t xml:space="preserve">inoltre </w:t>
      </w:r>
      <w:r w:rsidRPr="00253F4A">
        <w:rPr>
          <w:bCs/>
        </w:rPr>
        <w:t xml:space="preserve"> di diffondere i dati relativi alla mortalità generale di </w:t>
      </w:r>
      <w:r>
        <w:rPr>
          <w:bCs/>
        </w:rPr>
        <w:t>7.270</w:t>
      </w:r>
      <w:r w:rsidRPr="00253F4A">
        <w:rPr>
          <w:bCs/>
        </w:rPr>
        <w:t xml:space="preserve"> comuni italiani, che a oggi ammontano a 7.904, </w:t>
      </w:r>
      <w:r>
        <w:rPr>
          <w:bCs/>
        </w:rPr>
        <w:t>il 92</w:t>
      </w:r>
      <w:r w:rsidRPr="00253F4A">
        <w:rPr>
          <w:bCs/>
        </w:rPr>
        <w:t>% del totale. La percentuale di popolazione che questi comuni rappresentano è del</w:t>
      </w:r>
      <w:r>
        <w:rPr>
          <w:bCs/>
        </w:rPr>
        <w:t xml:space="preserve"> 93,5</w:t>
      </w:r>
      <w:r w:rsidRPr="00253F4A">
        <w:rPr>
          <w:bCs/>
        </w:rPr>
        <w:t>%.</w:t>
      </w:r>
    </w:p>
    <w:p w14:paraId="60B53AC5" w14:textId="77777777" w:rsidR="00447FF0" w:rsidRPr="00253F4A" w:rsidRDefault="00447FF0" w:rsidP="00447FF0">
      <w:pPr>
        <w:rPr>
          <w:bCs/>
        </w:rPr>
      </w:pPr>
      <w:r w:rsidRPr="00253F4A">
        <w:rPr>
          <w:bCs/>
        </w:rPr>
        <w:t xml:space="preserve">In una situazione di normalità il dettaglio di informazioni che l’Istituto rilascia (serie giornaliera dei decessi per sesso e classe di età) necessita del completamento di un processo di acquisizione e validazione dei </w:t>
      </w:r>
      <w:proofErr w:type="spellStart"/>
      <w:r w:rsidRPr="00253F4A">
        <w:rPr>
          <w:bCs/>
        </w:rPr>
        <w:t>microdati</w:t>
      </w:r>
      <w:proofErr w:type="spellEnd"/>
      <w:r w:rsidRPr="00253F4A">
        <w:rPr>
          <w:bCs/>
        </w:rPr>
        <w:t xml:space="preserve"> delle cancellazioni dall’anagrafe per decesso che comporta una diffusione a circa 10 mesi di ritardo rispetto al 31/12 di ogni anno di riferimento (ad ottobre dell’anno t vengono diffusi i dati validati dell’anno t-1). In virtù della situazione emergenziale, l’Istat si è impegnato a garantire la diffusione di queste informazioni con una tempistica molto serrata, con l’accortezza però che i dati vanno considerati provvisori e soggetti a variazione con i prossimi aggiornamenti. A differenza delle statistiche relative al bilancio della popolazione residente, che l’Istat aggiorna periodicamente, la data di decesso si riferisce alla data di evento e non a quella di cancellazione anagrafica.</w:t>
      </w:r>
    </w:p>
    <w:p w14:paraId="239C8F3B" w14:textId="77777777" w:rsidR="00447FF0" w:rsidRPr="00253F4A" w:rsidRDefault="00447FF0" w:rsidP="00447FF0">
      <w:pPr>
        <w:rPr>
          <w:bCs/>
        </w:rPr>
      </w:pPr>
      <w:r w:rsidRPr="00253F4A">
        <w:rPr>
          <w:bCs/>
        </w:rPr>
        <w:t xml:space="preserve">La validazione dei dati dei decessi dei 7.904 comuni italiani si basa sull’ammontare dei primi </w:t>
      </w:r>
      <w:r>
        <w:rPr>
          <w:bCs/>
        </w:rPr>
        <w:t>quattro</w:t>
      </w:r>
      <w:r w:rsidRPr="00253F4A">
        <w:rPr>
          <w:bCs/>
        </w:rPr>
        <w:t xml:space="preserve"> mesi dell’anno 2020, confrontato con i dati dello stesso periodo media 2015/2019. Sono stati utilizzate le variazioni assolute e percentuali di periodo, dei singoli mesi e l’informazione di presenza di morti Covid-19 (fonte ISS). Alla luce di queste analisi l’Istat ha valutato di non diffondere i dati per </w:t>
      </w:r>
      <w:r>
        <w:rPr>
          <w:bCs/>
        </w:rPr>
        <w:t>634</w:t>
      </w:r>
      <w:r w:rsidRPr="00253F4A">
        <w:rPr>
          <w:bCs/>
        </w:rPr>
        <w:t xml:space="preserve"> comuni per i quali il decremento registrato nel 2020 è probabilmente da attribuire ad un non completo o non tempestivo flusso delle notifiche dei dati da parte del Comune al sistema ANPR o all’Istat (per i comuni non subentrati in ANPR).</w:t>
      </w:r>
    </w:p>
    <w:p w14:paraId="482F80FB" w14:textId="148683FC" w:rsidR="00447FF0" w:rsidRPr="00253F4A" w:rsidRDefault="00447FF0" w:rsidP="00447FF0">
      <w:pPr>
        <w:rPr>
          <w:bCs/>
        </w:rPr>
      </w:pPr>
      <w:r w:rsidRPr="00253F4A">
        <w:rPr>
          <w:bCs/>
        </w:rPr>
        <w:t>I comuni per cui si rilasciano i dati anticipatori non costituiscono un campione statistico dell’universo dei comuni italiani, la cui copertura di popolazione a livello provinciale varia da un massimo del 100% per le province di Gorizia</w:t>
      </w:r>
      <w:r>
        <w:rPr>
          <w:bCs/>
        </w:rPr>
        <w:t>,</w:t>
      </w:r>
      <w:r w:rsidR="006938EA">
        <w:rPr>
          <w:bCs/>
        </w:rPr>
        <w:t xml:space="preserve"> </w:t>
      </w:r>
      <w:r w:rsidRPr="00253F4A">
        <w:rPr>
          <w:bCs/>
        </w:rPr>
        <w:t xml:space="preserve">Sondrio, </w:t>
      </w:r>
      <w:r>
        <w:rPr>
          <w:bCs/>
        </w:rPr>
        <w:t xml:space="preserve">Rovigo, Trieste e Piacenza, </w:t>
      </w:r>
      <w:r w:rsidRPr="00253F4A">
        <w:rPr>
          <w:bCs/>
        </w:rPr>
        <w:t xml:space="preserve">a un minimo </w:t>
      </w:r>
      <w:r>
        <w:rPr>
          <w:bCs/>
        </w:rPr>
        <w:t>del 59%</w:t>
      </w:r>
      <w:r w:rsidRPr="00253F4A">
        <w:rPr>
          <w:bCs/>
        </w:rPr>
        <w:t xml:space="preserve"> per la provincia di </w:t>
      </w:r>
      <w:r>
        <w:rPr>
          <w:bCs/>
        </w:rPr>
        <w:t>Enna</w:t>
      </w:r>
      <w:r w:rsidRPr="00253F4A">
        <w:rPr>
          <w:bCs/>
        </w:rPr>
        <w:t>; a livello regionale la copertura di popolazione varia dal 9</w:t>
      </w:r>
      <w:r>
        <w:rPr>
          <w:bCs/>
        </w:rPr>
        <w:t>8</w:t>
      </w:r>
      <w:r w:rsidRPr="00253F4A">
        <w:rPr>
          <w:bCs/>
        </w:rPr>
        <w:t>,</w:t>
      </w:r>
      <w:r>
        <w:rPr>
          <w:bCs/>
        </w:rPr>
        <w:t>6</w:t>
      </w:r>
      <w:r w:rsidRPr="00253F4A">
        <w:rPr>
          <w:bCs/>
        </w:rPr>
        <w:t>% per la Lombardia al 7</w:t>
      </w:r>
      <w:r>
        <w:rPr>
          <w:bCs/>
        </w:rPr>
        <w:t>8</w:t>
      </w:r>
      <w:r w:rsidRPr="00253F4A">
        <w:rPr>
          <w:bCs/>
        </w:rPr>
        <w:t>,</w:t>
      </w:r>
      <w:r>
        <w:rPr>
          <w:bCs/>
        </w:rPr>
        <w:t>7</w:t>
      </w:r>
      <w:r w:rsidRPr="00253F4A">
        <w:rPr>
          <w:bCs/>
        </w:rPr>
        <w:t xml:space="preserve">% per </w:t>
      </w:r>
      <w:r>
        <w:rPr>
          <w:bCs/>
        </w:rPr>
        <w:t>il Molise</w:t>
      </w:r>
      <w:r w:rsidRPr="00253F4A">
        <w:rPr>
          <w:bCs/>
        </w:rPr>
        <w:t xml:space="preserve">. A livello media nazionale la copertura è </w:t>
      </w:r>
      <w:r>
        <w:rPr>
          <w:bCs/>
        </w:rPr>
        <w:t>del 93,5</w:t>
      </w:r>
      <w:r w:rsidRPr="00253F4A">
        <w:rPr>
          <w:bCs/>
        </w:rPr>
        <w:t>% in termini di popolazione (cfr. tabella A1.)</w:t>
      </w:r>
    </w:p>
    <w:p w14:paraId="61740003" w14:textId="77777777" w:rsidR="00447FF0" w:rsidRDefault="00447FF0" w:rsidP="00447FF0">
      <w:pPr>
        <w:rPr>
          <w:bCs/>
          <w:sz w:val="24"/>
          <w:szCs w:val="24"/>
        </w:rPr>
      </w:pPr>
    </w:p>
    <w:p w14:paraId="3A316355" w14:textId="77777777" w:rsidR="00447FF0" w:rsidRDefault="00447FF0" w:rsidP="00447FF0">
      <w:pPr>
        <w:rPr>
          <w:bCs/>
          <w:sz w:val="24"/>
          <w:szCs w:val="24"/>
        </w:rPr>
      </w:pPr>
    </w:p>
    <w:p w14:paraId="13BC9178" w14:textId="77777777" w:rsidR="00447FF0" w:rsidRDefault="00447FF0" w:rsidP="00447FF0">
      <w:pPr>
        <w:rPr>
          <w:bCs/>
          <w:sz w:val="24"/>
          <w:szCs w:val="24"/>
        </w:rPr>
      </w:pPr>
      <w:r>
        <w:rPr>
          <w:bCs/>
          <w:sz w:val="24"/>
          <w:szCs w:val="24"/>
        </w:rPr>
        <w:br w:type="page"/>
      </w:r>
    </w:p>
    <w:p w14:paraId="3309B733" w14:textId="77777777" w:rsidR="007039EB" w:rsidRDefault="007039EB" w:rsidP="00447FF0">
      <w:pPr>
        <w:rPr>
          <w:b/>
          <w:bCs/>
          <w:iCs w:val="0"/>
          <w:color w:val="1F3864" w:themeColor="accent5" w:themeShade="80"/>
        </w:rPr>
      </w:pPr>
    </w:p>
    <w:p w14:paraId="4425570D" w14:textId="6C7080CA" w:rsidR="00447FF0" w:rsidRPr="006938EA" w:rsidRDefault="00447FF0" w:rsidP="00447FF0">
      <w:pPr>
        <w:rPr>
          <w:b/>
          <w:bCs/>
          <w:iCs w:val="0"/>
          <w:color w:val="1F3864" w:themeColor="accent5" w:themeShade="80"/>
        </w:rPr>
      </w:pPr>
      <w:r w:rsidRPr="006938EA">
        <w:rPr>
          <w:b/>
          <w:bCs/>
          <w:iCs w:val="0"/>
          <w:color w:val="1F3864" w:themeColor="accent5" w:themeShade="80"/>
        </w:rPr>
        <w:t>Tabella A1.</w:t>
      </w:r>
      <w:r w:rsidRPr="006938EA">
        <w:rPr>
          <w:b/>
          <w:bCs/>
        </w:rPr>
        <w:t xml:space="preserve"> </w:t>
      </w:r>
      <w:r w:rsidRPr="006938EA">
        <w:rPr>
          <w:b/>
          <w:bCs/>
          <w:iCs w:val="0"/>
          <w:color w:val="1F3864" w:themeColor="accent5" w:themeShade="80"/>
        </w:rPr>
        <w:t xml:space="preserve">Copertura provinciale per comune e popolazione residente dei </w:t>
      </w:r>
      <w:r w:rsidR="001B2529" w:rsidRPr="006938EA">
        <w:rPr>
          <w:b/>
          <w:bCs/>
          <w:iCs w:val="0"/>
          <w:color w:val="1F3864" w:themeColor="accent5" w:themeShade="80"/>
        </w:rPr>
        <w:t xml:space="preserve">7.270 </w:t>
      </w:r>
      <w:r w:rsidRPr="006938EA">
        <w:rPr>
          <w:b/>
          <w:bCs/>
          <w:iCs w:val="0"/>
          <w:color w:val="1F3864" w:themeColor="accent5" w:themeShade="80"/>
        </w:rPr>
        <w:t>comuni diffusi dall’Istat.</w:t>
      </w:r>
    </w:p>
    <w:p w14:paraId="678958E0" w14:textId="4A602A70" w:rsidR="00447FF0" w:rsidRPr="00253F4A" w:rsidRDefault="007E60F7" w:rsidP="00447FF0">
      <w:pPr>
        <w:rPr>
          <w:b/>
          <w:bCs/>
          <w:iCs w:val="0"/>
          <w:color w:val="1F3864" w:themeColor="accent5" w:themeShade="80"/>
          <w:sz w:val="24"/>
          <w:szCs w:val="24"/>
        </w:rPr>
      </w:pPr>
      <w:r w:rsidRPr="007E60F7">
        <w:rPr>
          <w:noProof/>
          <w:lang w:eastAsia="it-IT"/>
        </w:rPr>
        <w:drawing>
          <wp:inline distT="0" distB="0" distL="0" distR="0" wp14:anchorId="1D7145D9" wp14:editId="0D3DEBD8">
            <wp:extent cx="6120130" cy="7382623"/>
            <wp:effectExtent l="0" t="0" r="0" b="889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130" cy="7382623"/>
                    </a:xfrm>
                    <a:prstGeom prst="rect">
                      <a:avLst/>
                    </a:prstGeom>
                    <a:noFill/>
                    <a:ln>
                      <a:noFill/>
                    </a:ln>
                  </pic:spPr>
                </pic:pic>
              </a:graphicData>
            </a:graphic>
          </wp:inline>
        </w:drawing>
      </w:r>
    </w:p>
    <w:p w14:paraId="1B236A56" w14:textId="0775CFA6" w:rsidR="00447FF0" w:rsidRDefault="00447FF0" w:rsidP="00447FF0">
      <w:pPr>
        <w:rPr>
          <w:bCs/>
          <w:sz w:val="24"/>
          <w:szCs w:val="24"/>
        </w:rPr>
      </w:pPr>
    </w:p>
    <w:p w14:paraId="4DABD671" w14:textId="77777777" w:rsidR="007E60F7" w:rsidRDefault="007E60F7" w:rsidP="00447FF0">
      <w:pPr>
        <w:rPr>
          <w:bCs/>
          <w:sz w:val="24"/>
          <w:szCs w:val="24"/>
        </w:rPr>
      </w:pPr>
    </w:p>
    <w:p w14:paraId="437DE283" w14:textId="77777777" w:rsidR="007039EB" w:rsidRDefault="007039EB" w:rsidP="00447FF0">
      <w:pPr>
        <w:rPr>
          <w:b/>
          <w:bCs/>
          <w:iCs w:val="0"/>
          <w:color w:val="1F3864" w:themeColor="accent5" w:themeShade="80"/>
        </w:rPr>
      </w:pPr>
    </w:p>
    <w:p w14:paraId="38B31A5E" w14:textId="16C5F613" w:rsidR="00447FF0" w:rsidRPr="006938EA" w:rsidRDefault="00447FF0" w:rsidP="00447FF0">
      <w:pPr>
        <w:rPr>
          <w:b/>
          <w:bCs/>
          <w:iCs w:val="0"/>
          <w:color w:val="1F3864" w:themeColor="accent5" w:themeShade="80"/>
        </w:rPr>
      </w:pPr>
      <w:r w:rsidRPr="006938EA">
        <w:rPr>
          <w:b/>
          <w:bCs/>
          <w:iCs w:val="0"/>
          <w:color w:val="1F3864" w:themeColor="accent5" w:themeShade="80"/>
        </w:rPr>
        <w:t>Tabella A2.</w:t>
      </w:r>
      <w:r w:rsidR="001B2529" w:rsidRPr="006938EA">
        <w:rPr>
          <w:b/>
          <w:bCs/>
          <w:iCs w:val="0"/>
          <w:color w:val="1F3864" w:themeColor="accent5" w:themeShade="80"/>
        </w:rPr>
        <w:t xml:space="preserve"> Copertura regionale e </w:t>
      </w:r>
      <w:proofErr w:type="spellStart"/>
      <w:r w:rsidRPr="006938EA">
        <w:rPr>
          <w:b/>
          <w:bCs/>
          <w:iCs w:val="0"/>
          <w:color w:val="1F3864" w:themeColor="accent5" w:themeShade="80"/>
        </w:rPr>
        <w:t>ripartizionale</w:t>
      </w:r>
      <w:proofErr w:type="spellEnd"/>
      <w:r w:rsidRPr="006938EA">
        <w:rPr>
          <w:b/>
          <w:bCs/>
          <w:iCs w:val="0"/>
          <w:color w:val="1F3864" w:themeColor="accent5" w:themeShade="80"/>
        </w:rPr>
        <w:t xml:space="preserve"> per comune e</w:t>
      </w:r>
      <w:r w:rsidR="001B2529" w:rsidRPr="006938EA">
        <w:rPr>
          <w:b/>
          <w:bCs/>
          <w:iCs w:val="0"/>
          <w:color w:val="1F3864" w:themeColor="accent5" w:themeShade="80"/>
        </w:rPr>
        <w:t xml:space="preserve"> popolazione residente dei 7.270</w:t>
      </w:r>
      <w:r w:rsidRPr="006938EA">
        <w:rPr>
          <w:b/>
          <w:bCs/>
          <w:iCs w:val="0"/>
          <w:color w:val="1F3864" w:themeColor="accent5" w:themeShade="80"/>
        </w:rPr>
        <w:t xml:space="preserve"> comuni diffusi dall’Istat.</w:t>
      </w:r>
    </w:p>
    <w:p w14:paraId="4A0759AC" w14:textId="058B8BFB" w:rsidR="00447FF0" w:rsidRDefault="007E60F7" w:rsidP="00447FF0">
      <w:pPr>
        <w:rPr>
          <w:b/>
          <w:bCs/>
          <w:sz w:val="24"/>
          <w:szCs w:val="24"/>
        </w:rPr>
      </w:pPr>
      <w:r w:rsidRPr="007E60F7">
        <w:rPr>
          <w:noProof/>
          <w:lang w:eastAsia="it-IT"/>
        </w:rPr>
        <w:drawing>
          <wp:inline distT="0" distB="0" distL="0" distR="0" wp14:anchorId="24B72069" wp14:editId="68E0365C">
            <wp:extent cx="6120130" cy="2249692"/>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130" cy="2249692"/>
                    </a:xfrm>
                    <a:prstGeom prst="rect">
                      <a:avLst/>
                    </a:prstGeom>
                    <a:noFill/>
                    <a:ln>
                      <a:noFill/>
                    </a:ln>
                  </pic:spPr>
                </pic:pic>
              </a:graphicData>
            </a:graphic>
          </wp:inline>
        </w:drawing>
      </w:r>
    </w:p>
    <w:p w14:paraId="6C4DBF0D" w14:textId="77777777" w:rsidR="00224EC5" w:rsidRPr="00A9361E" w:rsidRDefault="00224EC5" w:rsidP="00224EC5">
      <w:pPr>
        <w:rPr>
          <w:bCs/>
          <w:sz w:val="10"/>
          <w:szCs w:val="10"/>
        </w:rPr>
      </w:pPr>
    </w:p>
    <w:p w14:paraId="7DA75865" w14:textId="424C3BFC" w:rsidR="00224EC5" w:rsidRPr="00E75BE9" w:rsidRDefault="00224EC5" w:rsidP="00224EC5">
      <w:pPr>
        <w:pStyle w:val="Paragrafoelenco"/>
        <w:numPr>
          <w:ilvl w:val="0"/>
          <w:numId w:val="11"/>
        </w:numPr>
        <w:rPr>
          <w:b/>
          <w:bCs/>
          <w:sz w:val="24"/>
          <w:szCs w:val="24"/>
        </w:rPr>
      </w:pPr>
      <w:r w:rsidRPr="00E75BE9">
        <w:rPr>
          <w:b/>
          <w:bCs/>
          <w:sz w:val="24"/>
          <w:szCs w:val="24"/>
        </w:rPr>
        <w:t xml:space="preserve">I dati sui casi e sui decessi del </w:t>
      </w:r>
      <w:r w:rsidR="00114073">
        <w:rPr>
          <w:b/>
          <w:bCs/>
          <w:sz w:val="24"/>
          <w:szCs w:val="24"/>
        </w:rPr>
        <w:t>S</w:t>
      </w:r>
      <w:r>
        <w:rPr>
          <w:b/>
          <w:bCs/>
          <w:sz w:val="24"/>
          <w:szCs w:val="24"/>
        </w:rPr>
        <w:t xml:space="preserve">istema </w:t>
      </w:r>
      <w:r w:rsidR="00114073">
        <w:rPr>
          <w:b/>
          <w:bCs/>
          <w:sz w:val="24"/>
          <w:szCs w:val="24"/>
        </w:rPr>
        <w:t xml:space="preserve">Nazionale </w:t>
      </w:r>
      <w:r>
        <w:rPr>
          <w:b/>
          <w:bCs/>
          <w:sz w:val="24"/>
          <w:szCs w:val="24"/>
        </w:rPr>
        <w:t xml:space="preserve">di sorveglianza </w:t>
      </w:r>
    </w:p>
    <w:p w14:paraId="17F71281" w14:textId="2856E6E8" w:rsidR="00224EC5" w:rsidRPr="00253F4A" w:rsidRDefault="00224EC5" w:rsidP="00224EC5">
      <w:pPr>
        <w:rPr>
          <w:bCs/>
        </w:rPr>
      </w:pPr>
      <w:r w:rsidRPr="00253F4A">
        <w:rPr>
          <w:bCs/>
        </w:rPr>
        <w:t xml:space="preserve">Con l’ordinanza del n. 640 del 27 febbraio 2020, l’Istituto Superiore di Sanità (ISS), dal 28 febbraio, coordina un </w:t>
      </w:r>
      <w:r w:rsidR="00114073">
        <w:rPr>
          <w:bCs/>
        </w:rPr>
        <w:t>S</w:t>
      </w:r>
      <w:r w:rsidRPr="00253F4A">
        <w:rPr>
          <w:bCs/>
        </w:rPr>
        <w:t>istema di sorveglianza che integra a livello individuale i dati microbiologici ed epidemiologici forniti dalle Regioni e Provincie Autonome (PA) e dal Laboratorio nazionale di riferimento per SARS-CoV-2 dell’ISS. I dati vengono raccolti attraverso una piattaforma web dedicata e riguardano tutti i casi di COVID-19 diagnosticati dai laboratori di riferimento regionali. I dati vengono aggiornati giornalmente da ciascuna Regione anche se alcune informazioni possono richiedere qualche giorno per il loro inserimento. Per questo motivo, potrebbe non esserci una completa concordanza con quanto riportato attraverso il flusso informativo della Protezione Civile e del Ministero della Salute che riportano dati aggregati. La sorveglianza raccoglie dati individuali dei soggetti positivi al Covid-19 e in particolare le informazioni anagrafiche, i dati sul domicilio e sulla residenza, alcune informazioni di laboratorio, informazioni sul ricovero e sullo stato clinico (indicatore sintetico di gravità della sintomatologia), la presenza di alcuni fattori di rischio (patologie croniche di base), e l’esito finale (guarito o deceduto).</w:t>
      </w:r>
    </w:p>
    <w:p w14:paraId="51D9CDF3" w14:textId="77777777" w:rsidR="001C2FEF" w:rsidRPr="00253F4A" w:rsidRDefault="001C2FEF" w:rsidP="001C2FEF">
      <w:pPr>
        <w:spacing w:after="0"/>
        <w:rPr>
          <w:bCs/>
        </w:rPr>
      </w:pPr>
      <w:r w:rsidRPr="00753782">
        <w:rPr>
          <w:bCs/>
        </w:rPr>
        <w:t>Un’</w:t>
      </w:r>
      <w:proofErr w:type="spellStart"/>
      <w:r w:rsidRPr="00753782">
        <w:rPr>
          <w:bCs/>
        </w:rPr>
        <w:t>infografica</w:t>
      </w:r>
      <w:proofErr w:type="spellEnd"/>
      <w:r w:rsidRPr="00253F4A">
        <w:rPr>
          <w:bCs/>
        </w:rPr>
        <w:t xml:space="preserve"> dedicata riporta - con grafici, mappe e tabelle - una descrizione della diffusione nel tempo e nello spazio dell’epidemia di COVID-19 in Italia e una descrizione delle caratteristiche delle persone affette. Una volta a settimana viene pubblicato anche un bollettino che, in maniera più estesa, approfondisce le informazioni raccolte. Tali documenti possono essere scaricati dal sito Epicentro dell’ISS. Gli ultimi disponibili sono il report settimanale del </w:t>
      </w:r>
      <w:r>
        <w:rPr>
          <w:bCs/>
        </w:rPr>
        <w:t>26 maggio</w:t>
      </w:r>
      <w:r w:rsidRPr="00253F4A">
        <w:rPr>
          <w:bCs/>
        </w:rPr>
        <w:t xml:space="preserve"> 2020: </w:t>
      </w:r>
    </w:p>
    <w:p w14:paraId="2BBECBE1" w14:textId="77777777" w:rsidR="001C2FEF" w:rsidRDefault="006D4CC6" w:rsidP="001C2FEF">
      <w:pPr>
        <w:spacing w:after="0"/>
        <w:rPr>
          <w:bCs/>
        </w:rPr>
      </w:pPr>
      <w:hyperlink r:id="rId34" w:history="1">
        <w:r w:rsidR="001C2FEF">
          <w:rPr>
            <w:rStyle w:val="Collegamentoipertestuale"/>
          </w:rPr>
          <w:t>https://www.epicentro.iss.it/coronavirus/bollettino/Bollettino-sorveglianza-integrata-COVID-19_26-maggio-2020.pdf</w:t>
        </w:r>
      </w:hyperlink>
    </w:p>
    <w:p w14:paraId="51A04018" w14:textId="77777777" w:rsidR="001C2FEF" w:rsidRPr="00253F4A" w:rsidRDefault="001C2FEF" w:rsidP="001C2FEF">
      <w:pPr>
        <w:spacing w:after="0"/>
        <w:rPr>
          <w:bCs/>
        </w:rPr>
      </w:pPr>
    </w:p>
    <w:p w14:paraId="0BC7ABE5" w14:textId="77777777" w:rsidR="001C2FEF" w:rsidRPr="00253F4A" w:rsidRDefault="001C2FEF" w:rsidP="001C2FEF">
      <w:pPr>
        <w:spacing w:after="0"/>
        <w:rPr>
          <w:bCs/>
        </w:rPr>
      </w:pPr>
      <w:r w:rsidRPr="00253F4A">
        <w:rPr>
          <w:bCs/>
        </w:rPr>
        <w:t>e l’</w:t>
      </w:r>
      <w:proofErr w:type="spellStart"/>
      <w:r w:rsidRPr="00253F4A">
        <w:rPr>
          <w:bCs/>
        </w:rPr>
        <w:t>infografica</w:t>
      </w:r>
      <w:proofErr w:type="spellEnd"/>
      <w:r w:rsidRPr="00253F4A">
        <w:rPr>
          <w:bCs/>
        </w:rPr>
        <w:t xml:space="preserve"> del </w:t>
      </w:r>
      <w:r>
        <w:rPr>
          <w:bCs/>
        </w:rPr>
        <w:t>1</w:t>
      </w:r>
      <w:r w:rsidRPr="00253F4A">
        <w:rPr>
          <w:bCs/>
        </w:rPr>
        <w:t xml:space="preserve"> </w:t>
      </w:r>
      <w:r>
        <w:rPr>
          <w:bCs/>
        </w:rPr>
        <w:t>giugno</w:t>
      </w:r>
      <w:r w:rsidRPr="00253F4A">
        <w:rPr>
          <w:bCs/>
        </w:rPr>
        <w:t xml:space="preserve"> 2020:</w:t>
      </w:r>
    </w:p>
    <w:p w14:paraId="061A1523" w14:textId="77777777" w:rsidR="001C2FEF" w:rsidRDefault="006D4CC6" w:rsidP="001C2FEF">
      <w:pPr>
        <w:spacing w:after="0"/>
        <w:jc w:val="left"/>
      </w:pPr>
      <w:hyperlink r:id="rId35" w:history="1">
        <w:r w:rsidR="001C2FEF">
          <w:rPr>
            <w:rStyle w:val="Collegamentoipertestuale"/>
          </w:rPr>
          <w:t>https://www.epicentro.iss.it/coronavirus/bollettino/Infografica_1giugno%20ITA.pdf</w:t>
        </w:r>
      </w:hyperlink>
    </w:p>
    <w:p w14:paraId="31A981E2" w14:textId="77777777" w:rsidR="001C2FEF" w:rsidRPr="00253F4A" w:rsidRDefault="001C2FEF" w:rsidP="001C2FEF">
      <w:pPr>
        <w:spacing w:after="0"/>
        <w:jc w:val="left"/>
        <w:rPr>
          <w:bCs/>
        </w:rPr>
      </w:pPr>
    </w:p>
    <w:p w14:paraId="4EE88E59" w14:textId="77777777" w:rsidR="001C2FEF" w:rsidRDefault="001C2FEF" w:rsidP="001C2FEF">
      <w:pPr>
        <w:jc w:val="left"/>
        <w:rPr>
          <w:rStyle w:val="Collegamentoipertestuale"/>
          <w:bCs/>
          <w:sz w:val="24"/>
          <w:szCs w:val="24"/>
        </w:rPr>
      </w:pPr>
      <w:r w:rsidRPr="00A9361E">
        <w:rPr>
          <w:bCs/>
        </w:rPr>
        <w:t>Per quest’ultima è disponibile anche una versione in lingua inglese:</w:t>
      </w:r>
      <w:r w:rsidRPr="0001583E">
        <w:rPr>
          <w:bCs/>
          <w:sz w:val="24"/>
          <w:szCs w:val="24"/>
        </w:rPr>
        <w:t xml:space="preserve"> </w:t>
      </w:r>
      <w:hyperlink r:id="rId36" w:history="1"/>
    </w:p>
    <w:p w14:paraId="27F66CA4" w14:textId="4AA9BE9A" w:rsidR="00253F4A" w:rsidRDefault="006D4CC6" w:rsidP="001C2FEF">
      <w:pPr>
        <w:jc w:val="left"/>
        <w:rPr>
          <w:bCs/>
          <w:sz w:val="24"/>
          <w:szCs w:val="24"/>
        </w:rPr>
      </w:pPr>
      <w:hyperlink r:id="rId37" w:history="1">
        <w:r w:rsidR="001C2FEF">
          <w:rPr>
            <w:rStyle w:val="Collegamentoipertestuale"/>
          </w:rPr>
          <w:t>https://www.epicentro.iss.it/en/coronavirus/bollettino/Infografica_1giugno%20ENG.pdf</w:t>
        </w:r>
      </w:hyperlink>
      <w:r w:rsidR="00253F4A">
        <w:rPr>
          <w:bCs/>
          <w:sz w:val="24"/>
          <w:szCs w:val="24"/>
        </w:rPr>
        <w:br w:type="page"/>
      </w:r>
    </w:p>
    <w:p w14:paraId="7D4AFDF9" w14:textId="77777777" w:rsidR="007039EB" w:rsidRDefault="007039EB" w:rsidP="00224EC5">
      <w:pPr>
        <w:rPr>
          <w:rFonts w:ascii="Arial Narrow" w:hAnsi="Arial Narrow"/>
          <w:b/>
          <w:bCs/>
          <w:iCs w:val="0"/>
          <w:color w:val="1F3864" w:themeColor="accent5" w:themeShade="80"/>
          <w:sz w:val="32"/>
          <w:szCs w:val="32"/>
        </w:rPr>
      </w:pPr>
    </w:p>
    <w:p w14:paraId="48B1CBF9" w14:textId="2487801F" w:rsidR="00224EC5" w:rsidRPr="00783E4A" w:rsidRDefault="00224EC5" w:rsidP="00224EC5">
      <w:pPr>
        <w:rPr>
          <w:b/>
          <w:bCs/>
          <w:sz w:val="24"/>
          <w:szCs w:val="24"/>
        </w:rPr>
      </w:pPr>
      <w:r w:rsidRPr="00A072C3">
        <w:rPr>
          <w:rFonts w:ascii="Arial Narrow" w:hAnsi="Arial Narrow"/>
          <w:b/>
          <w:bCs/>
          <w:iCs w:val="0"/>
          <w:color w:val="1F3864" w:themeColor="accent5" w:themeShade="80"/>
          <w:sz w:val="32"/>
          <w:szCs w:val="32"/>
        </w:rPr>
        <w:t>GLOSSARIO</w:t>
      </w:r>
    </w:p>
    <w:p w14:paraId="67EADD88" w14:textId="77777777" w:rsidR="00224EC5" w:rsidRPr="007039EB" w:rsidRDefault="00224EC5" w:rsidP="00224EC5">
      <w:pPr>
        <w:rPr>
          <w:bCs/>
          <w:sz w:val="20"/>
          <w:szCs w:val="20"/>
        </w:rPr>
      </w:pPr>
      <w:r w:rsidRPr="007039EB">
        <w:rPr>
          <w:b/>
          <w:bCs/>
          <w:sz w:val="20"/>
          <w:szCs w:val="20"/>
        </w:rPr>
        <w:t>Anagrafe della popolazione</w:t>
      </w:r>
      <w:r w:rsidRPr="007039EB">
        <w:rPr>
          <w:bCs/>
          <w:sz w:val="20"/>
          <w:szCs w:val="20"/>
        </w:rPr>
        <w:t>: il sistema continuo di registrazione della popolazione residente. Viene continuamente aggiornata tramite iscrizioni per nascita da genitori residenti nel Comune, cancellazioni per morte di residenti e iscrizioni/cancellazioni per trasferimento di residenza da/per altro Comune o da/per l'Estero.</w:t>
      </w:r>
    </w:p>
    <w:p w14:paraId="38418E96" w14:textId="77777777" w:rsidR="00224EC5" w:rsidRPr="007039EB" w:rsidRDefault="00224EC5" w:rsidP="00224EC5">
      <w:pPr>
        <w:pStyle w:val="NormaleWeb"/>
        <w:shd w:val="clear" w:color="auto" w:fill="FFFFFF"/>
        <w:spacing w:before="0" w:beforeAutospacing="0" w:after="0" w:afterAutospacing="0"/>
        <w:rPr>
          <w:rFonts w:ascii="Arial" w:eastAsiaTheme="minorHAnsi" w:hAnsi="Arial" w:cs="Arial"/>
          <w:bCs/>
          <w:sz w:val="20"/>
          <w:szCs w:val="20"/>
          <w:lang w:eastAsia="en-US"/>
        </w:rPr>
      </w:pPr>
      <w:r w:rsidRPr="007039EB">
        <w:rPr>
          <w:rFonts w:ascii="Arial" w:hAnsi="Arial" w:cs="Arial"/>
          <w:b/>
          <w:bCs/>
          <w:sz w:val="20"/>
          <w:szCs w:val="20"/>
        </w:rPr>
        <w:t xml:space="preserve">ANPR: </w:t>
      </w:r>
      <w:r w:rsidRPr="007039EB">
        <w:rPr>
          <w:rFonts w:ascii="Arial" w:eastAsiaTheme="minorHAnsi" w:hAnsi="Arial" w:cs="Arial"/>
          <w:bCs/>
          <w:sz w:val="20"/>
          <w:szCs w:val="20"/>
          <w:lang w:eastAsia="en-US"/>
        </w:rPr>
        <w:t>Anagrafe Nazionale della Popolazione Residente (ANPR). È la banca dati nazionale nella quale confluiscono progressivamente tutte le anagrafi comunali.</w:t>
      </w:r>
    </w:p>
    <w:p w14:paraId="4607E4B6" w14:textId="77777777" w:rsidR="00224EC5" w:rsidRPr="007039EB" w:rsidRDefault="00224EC5" w:rsidP="00224EC5">
      <w:pPr>
        <w:pStyle w:val="NormaleWeb"/>
        <w:shd w:val="clear" w:color="auto" w:fill="FFFFFF"/>
        <w:spacing w:before="0" w:beforeAutospacing="0" w:after="0" w:afterAutospacing="0"/>
        <w:rPr>
          <w:rFonts w:ascii="Arial" w:eastAsiaTheme="minorHAnsi" w:hAnsi="Arial" w:cs="Arial"/>
          <w:bCs/>
          <w:sz w:val="20"/>
          <w:szCs w:val="20"/>
          <w:lang w:eastAsia="en-US"/>
        </w:rPr>
      </w:pPr>
      <w:r w:rsidRPr="007039EB">
        <w:rPr>
          <w:rFonts w:ascii="Arial" w:eastAsiaTheme="minorHAnsi" w:hAnsi="Arial" w:cs="Arial"/>
          <w:bCs/>
          <w:sz w:val="20"/>
          <w:szCs w:val="20"/>
          <w:lang w:eastAsia="en-US"/>
        </w:rPr>
        <w:t xml:space="preserve">È stata istituita presso il Ministero dell’Interno ai sensi dell’articolo 62 del </w:t>
      </w:r>
      <w:proofErr w:type="spellStart"/>
      <w:r w:rsidRPr="007039EB">
        <w:rPr>
          <w:rFonts w:ascii="Arial" w:eastAsiaTheme="minorHAnsi" w:hAnsi="Arial" w:cs="Arial"/>
          <w:bCs/>
          <w:sz w:val="20"/>
          <w:szCs w:val="20"/>
          <w:lang w:eastAsia="en-US"/>
        </w:rPr>
        <w:t>Dlgs</w:t>
      </w:r>
      <w:proofErr w:type="spellEnd"/>
      <w:r w:rsidRPr="007039EB">
        <w:rPr>
          <w:rFonts w:ascii="Arial" w:eastAsiaTheme="minorHAnsi" w:hAnsi="Arial" w:cs="Arial"/>
          <w:bCs/>
          <w:sz w:val="20"/>
          <w:szCs w:val="20"/>
          <w:lang w:eastAsia="en-US"/>
        </w:rPr>
        <w:t xml:space="preserve"> n. 82/2005 (Codice dell’Amministrazione Digitale).</w:t>
      </w:r>
    </w:p>
    <w:p w14:paraId="37DDFA40" w14:textId="77777777" w:rsidR="00224EC5" w:rsidRPr="007039EB" w:rsidRDefault="00224EC5" w:rsidP="00224EC5">
      <w:pPr>
        <w:pStyle w:val="NormaleWeb"/>
        <w:shd w:val="clear" w:color="auto" w:fill="FFFFFF"/>
        <w:spacing w:before="0" w:beforeAutospacing="0" w:after="0" w:afterAutospacing="0"/>
        <w:rPr>
          <w:rFonts w:ascii="Arial" w:eastAsiaTheme="minorHAnsi" w:hAnsi="Arial" w:cs="Arial"/>
          <w:bCs/>
          <w:sz w:val="20"/>
          <w:szCs w:val="20"/>
          <w:lang w:eastAsia="en-US"/>
        </w:rPr>
      </w:pPr>
    </w:p>
    <w:p w14:paraId="59D644D0" w14:textId="26BB2EE1" w:rsidR="00224EC5" w:rsidRPr="007039EB" w:rsidRDefault="00224EC5" w:rsidP="00224EC5">
      <w:pPr>
        <w:spacing w:after="0"/>
        <w:rPr>
          <w:bCs/>
          <w:sz w:val="20"/>
          <w:szCs w:val="20"/>
        </w:rPr>
      </w:pPr>
      <w:r w:rsidRPr="007039EB">
        <w:rPr>
          <w:b/>
          <w:bCs/>
          <w:sz w:val="20"/>
          <w:szCs w:val="20"/>
        </w:rPr>
        <w:t xml:space="preserve">Caso positivo Covid-19: </w:t>
      </w:r>
      <w:r w:rsidRPr="007039EB">
        <w:rPr>
          <w:bCs/>
          <w:sz w:val="20"/>
          <w:szCs w:val="20"/>
        </w:rPr>
        <w:t>per Covid-19 (sintesi dei termini CO-</w:t>
      </w:r>
      <w:proofErr w:type="spellStart"/>
      <w:r w:rsidRPr="007039EB">
        <w:rPr>
          <w:bCs/>
          <w:sz w:val="20"/>
          <w:szCs w:val="20"/>
        </w:rPr>
        <w:t>rona</w:t>
      </w:r>
      <w:proofErr w:type="spellEnd"/>
      <w:r w:rsidRPr="007039EB">
        <w:rPr>
          <w:bCs/>
          <w:sz w:val="20"/>
          <w:szCs w:val="20"/>
        </w:rPr>
        <w:t xml:space="preserve"> VI-</w:t>
      </w:r>
      <w:proofErr w:type="spellStart"/>
      <w:r w:rsidRPr="007039EB">
        <w:rPr>
          <w:bCs/>
          <w:sz w:val="20"/>
          <w:szCs w:val="20"/>
        </w:rPr>
        <w:t>rus</w:t>
      </w:r>
      <w:proofErr w:type="spellEnd"/>
      <w:r w:rsidRPr="007039EB">
        <w:rPr>
          <w:bCs/>
          <w:sz w:val="20"/>
          <w:szCs w:val="20"/>
        </w:rPr>
        <w:t xml:space="preserve"> D-</w:t>
      </w:r>
      <w:proofErr w:type="spellStart"/>
      <w:r w:rsidRPr="007039EB">
        <w:rPr>
          <w:bCs/>
          <w:sz w:val="20"/>
          <w:szCs w:val="20"/>
        </w:rPr>
        <w:t>isease</w:t>
      </w:r>
      <w:proofErr w:type="spellEnd"/>
      <w:r w:rsidRPr="007039EB">
        <w:rPr>
          <w:bCs/>
          <w:sz w:val="20"/>
          <w:szCs w:val="20"/>
        </w:rPr>
        <w:t xml:space="preserve"> e dell'anno d'identificazione, 2019) l'Organizzazione Mondiale della Sanità (OMS) intende la malattia respiratoria causata dal nuovo coronavirus SARS-Cov-2. La definizione di caso confermato positivo Covid-19 secondo la Sorveglianza Integrata Covid-19 è basata su una definizione di caso definita attraverso circolari ministeriali tenendo conto delle evidenze scientifiche e delle indicazioni degli organismi internazionali quali OMS e ECDC. L’attuale definizione è di tipo microbiologico: risultato positivo con test di conferma effettuato dal/i laboratorio/i di riferimento Regionale/i effettuato su tampone naso-faringeo</w:t>
      </w:r>
      <w:r w:rsidR="00114073" w:rsidRPr="007039EB">
        <w:rPr>
          <w:bCs/>
          <w:sz w:val="20"/>
          <w:szCs w:val="20"/>
        </w:rPr>
        <w:t>.</w:t>
      </w:r>
      <w:r w:rsidRPr="007039EB">
        <w:rPr>
          <w:bCs/>
          <w:sz w:val="20"/>
          <w:szCs w:val="20"/>
        </w:rPr>
        <w:t xml:space="preserve"> </w:t>
      </w:r>
    </w:p>
    <w:p w14:paraId="0C1AB80E" w14:textId="77777777" w:rsidR="00224EC5" w:rsidRPr="007039EB" w:rsidRDefault="00224EC5" w:rsidP="00224EC5">
      <w:pPr>
        <w:rPr>
          <w:bCs/>
          <w:sz w:val="20"/>
          <w:szCs w:val="20"/>
        </w:rPr>
      </w:pPr>
      <w:r w:rsidRPr="007039EB">
        <w:rPr>
          <w:bCs/>
          <w:sz w:val="20"/>
          <w:szCs w:val="20"/>
        </w:rPr>
        <w:t>(https://www.fnopi.it/wp-content/uploads/2020/03/Circolare_9_marzo_2020.pdf)</w:t>
      </w:r>
    </w:p>
    <w:p w14:paraId="7813B86A" w14:textId="77777777" w:rsidR="00224EC5" w:rsidRPr="007039EB" w:rsidRDefault="00224EC5" w:rsidP="00224EC5">
      <w:pPr>
        <w:rPr>
          <w:bCs/>
          <w:sz w:val="20"/>
          <w:szCs w:val="20"/>
        </w:rPr>
      </w:pPr>
      <w:r w:rsidRPr="007039EB">
        <w:rPr>
          <w:b/>
          <w:bCs/>
          <w:sz w:val="20"/>
          <w:szCs w:val="20"/>
        </w:rPr>
        <w:t>Causa di morte:</w:t>
      </w:r>
      <w:r w:rsidRPr="007039EB">
        <w:rPr>
          <w:bCs/>
          <w:sz w:val="20"/>
          <w:szCs w:val="20"/>
        </w:rPr>
        <w:t xml:space="preserve"> si intende la causa “iniziale” di morte, ovvero la condizione morbosa direttamente responsabile del decesso. È definita e individuata tra tutte le malattie certificate dal medico sulla scheda di morte, in base a stringenti regole dettate dall’Organizzazione Mondiale della Sanità (riportate nella Classificazione Internazionale delle Malattie Icd-10) ed è l’indicatore più utilizzato e consolidato per le statistiche ufficiali e i confronti a livello nazionale e internazionale.</w:t>
      </w:r>
    </w:p>
    <w:p w14:paraId="2796B7B7" w14:textId="55A49330" w:rsidR="00224EC5" w:rsidRPr="007039EB" w:rsidRDefault="00224EC5" w:rsidP="00224EC5">
      <w:pPr>
        <w:rPr>
          <w:bCs/>
          <w:sz w:val="20"/>
          <w:szCs w:val="20"/>
        </w:rPr>
      </w:pPr>
      <w:r w:rsidRPr="007039EB">
        <w:rPr>
          <w:b/>
          <w:bCs/>
          <w:sz w:val="20"/>
          <w:szCs w:val="20"/>
        </w:rPr>
        <w:t>Classificazione internazionale delle malattie (</w:t>
      </w:r>
      <w:proofErr w:type="spellStart"/>
      <w:r w:rsidRPr="007039EB">
        <w:rPr>
          <w:b/>
          <w:bCs/>
          <w:sz w:val="20"/>
          <w:szCs w:val="20"/>
        </w:rPr>
        <w:t>Icd</w:t>
      </w:r>
      <w:proofErr w:type="spellEnd"/>
      <w:r w:rsidRPr="007039EB">
        <w:rPr>
          <w:b/>
          <w:bCs/>
          <w:sz w:val="20"/>
          <w:szCs w:val="20"/>
        </w:rPr>
        <w:t>):</w:t>
      </w:r>
      <w:r w:rsidRPr="007039EB">
        <w:rPr>
          <w:bCs/>
          <w:sz w:val="20"/>
          <w:szCs w:val="20"/>
        </w:rPr>
        <w:t xml:space="preserve"> International </w:t>
      </w:r>
      <w:proofErr w:type="spellStart"/>
      <w:r w:rsidRPr="007039EB">
        <w:rPr>
          <w:bCs/>
          <w:sz w:val="20"/>
          <w:szCs w:val="20"/>
        </w:rPr>
        <w:t>Classification</w:t>
      </w:r>
      <w:proofErr w:type="spellEnd"/>
      <w:r w:rsidRPr="007039EB">
        <w:rPr>
          <w:bCs/>
          <w:sz w:val="20"/>
          <w:szCs w:val="20"/>
        </w:rPr>
        <w:t xml:space="preserve"> of </w:t>
      </w:r>
      <w:proofErr w:type="spellStart"/>
      <w:r w:rsidRPr="007039EB">
        <w:rPr>
          <w:bCs/>
          <w:sz w:val="20"/>
          <w:szCs w:val="20"/>
        </w:rPr>
        <w:t>Diseases</w:t>
      </w:r>
      <w:proofErr w:type="spellEnd"/>
      <w:r w:rsidRPr="007039EB">
        <w:rPr>
          <w:bCs/>
          <w:sz w:val="20"/>
          <w:szCs w:val="20"/>
        </w:rPr>
        <w:t xml:space="preserve"> and </w:t>
      </w:r>
      <w:proofErr w:type="spellStart"/>
      <w:r w:rsidRPr="007039EB">
        <w:rPr>
          <w:bCs/>
          <w:sz w:val="20"/>
          <w:szCs w:val="20"/>
        </w:rPr>
        <w:t>Related</w:t>
      </w:r>
      <w:proofErr w:type="spellEnd"/>
      <w:r w:rsidRPr="007039EB">
        <w:rPr>
          <w:bCs/>
          <w:sz w:val="20"/>
          <w:szCs w:val="20"/>
        </w:rPr>
        <w:t xml:space="preserve"> </w:t>
      </w:r>
      <w:proofErr w:type="spellStart"/>
      <w:r w:rsidRPr="007039EB">
        <w:rPr>
          <w:bCs/>
          <w:sz w:val="20"/>
          <w:szCs w:val="20"/>
        </w:rPr>
        <w:t>Health</w:t>
      </w:r>
      <w:proofErr w:type="spellEnd"/>
      <w:r w:rsidRPr="007039EB">
        <w:rPr>
          <w:bCs/>
          <w:sz w:val="20"/>
          <w:szCs w:val="20"/>
        </w:rPr>
        <w:t xml:space="preserve"> </w:t>
      </w:r>
      <w:proofErr w:type="spellStart"/>
      <w:r w:rsidRPr="007039EB">
        <w:rPr>
          <w:bCs/>
          <w:sz w:val="20"/>
          <w:szCs w:val="20"/>
        </w:rPr>
        <w:t>Problems</w:t>
      </w:r>
      <w:proofErr w:type="spellEnd"/>
      <w:r w:rsidRPr="007039EB">
        <w:rPr>
          <w:bCs/>
          <w:sz w:val="20"/>
          <w:szCs w:val="20"/>
        </w:rPr>
        <w:t>, è il sistema di classificazione delle malattie, stilato dall’Organizzazione Mondiale della Sanità. Con questo standard internazionale vengono classificate le informazioni sanitarie della rilevazione Istat sui decessi e le cause di morte. (</w:t>
      </w:r>
      <w:hyperlink r:id="rId38" w:anchor="/" w:history="1">
        <w:r w:rsidRPr="007039EB">
          <w:rPr>
            <w:rStyle w:val="Collegamentoipertestuale"/>
            <w:bCs/>
            <w:sz w:val="20"/>
            <w:szCs w:val="20"/>
          </w:rPr>
          <w:t>https://icd.who.int/browse10/2019/en#/</w:t>
        </w:r>
      </w:hyperlink>
      <w:r w:rsidRPr="007039EB">
        <w:rPr>
          <w:bCs/>
          <w:sz w:val="20"/>
          <w:szCs w:val="20"/>
        </w:rPr>
        <w:t>)</w:t>
      </w:r>
    </w:p>
    <w:p w14:paraId="53D1D804" w14:textId="680F2FEC" w:rsidR="00224EC5" w:rsidRPr="007039EB" w:rsidRDefault="00224EC5" w:rsidP="00224EC5">
      <w:pPr>
        <w:rPr>
          <w:bCs/>
          <w:sz w:val="20"/>
          <w:szCs w:val="20"/>
        </w:rPr>
      </w:pPr>
      <w:r w:rsidRPr="007039EB">
        <w:rPr>
          <w:b/>
          <w:bCs/>
          <w:sz w:val="20"/>
          <w:szCs w:val="20"/>
        </w:rPr>
        <w:t>Co-</w:t>
      </w:r>
      <w:proofErr w:type="spellStart"/>
      <w:r w:rsidRPr="007039EB">
        <w:rPr>
          <w:b/>
          <w:bCs/>
          <w:sz w:val="20"/>
          <w:szCs w:val="20"/>
        </w:rPr>
        <w:t>morbidità</w:t>
      </w:r>
      <w:proofErr w:type="spellEnd"/>
      <w:r w:rsidRPr="007039EB">
        <w:rPr>
          <w:b/>
          <w:bCs/>
          <w:sz w:val="20"/>
          <w:szCs w:val="20"/>
        </w:rPr>
        <w:t xml:space="preserve">: </w:t>
      </w:r>
      <w:r w:rsidRPr="007039EB">
        <w:rPr>
          <w:bCs/>
          <w:sz w:val="20"/>
          <w:szCs w:val="20"/>
        </w:rPr>
        <w:t xml:space="preserve">si intende la </w:t>
      </w:r>
      <w:proofErr w:type="spellStart"/>
      <w:r w:rsidRPr="007039EB">
        <w:rPr>
          <w:bCs/>
          <w:sz w:val="20"/>
          <w:szCs w:val="20"/>
        </w:rPr>
        <w:t>pre</w:t>
      </w:r>
      <w:proofErr w:type="spellEnd"/>
      <w:r w:rsidRPr="007039EB">
        <w:rPr>
          <w:bCs/>
          <w:sz w:val="20"/>
          <w:szCs w:val="20"/>
        </w:rPr>
        <w:t>-esistenza di condizioni croniche al momento della diagnosi; queste includono: patologie</w:t>
      </w:r>
      <w:r w:rsidR="007544F6">
        <w:rPr>
          <w:bCs/>
          <w:sz w:val="20"/>
          <w:szCs w:val="20"/>
        </w:rPr>
        <w:t xml:space="preserve"> </w:t>
      </w:r>
      <w:r w:rsidRPr="007039EB">
        <w:rPr>
          <w:bCs/>
          <w:sz w:val="20"/>
          <w:szCs w:val="20"/>
        </w:rPr>
        <w:t>cardiovascolari, patologie respiratorie, diabete, deficit immunitari, patologie metaboliche, patologie oncologiche, obesità, patologie renali o altre patologie croniche.</w:t>
      </w:r>
    </w:p>
    <w:p w14:paraId="3458F2F0" w14:textId="77777777" w:rsidR="00224EC5" w:rsidRPr="007039EB" w:rsidRDefault="00224EC5" w:rsidP="00224EC5">
      <w:pPr>
        <w:rPr>
          <w:bCs/>
          <w:sz w:val="20"/>
          <w:szCs w:val="20"/>
        </w:rPr>
      </w:pPr>
      <w:r w:rsidRPr="007039EB">
        <w:rPr>
          <w:b/>
          <w:bCs/>
          <w:sz w:val="20"/>
          <w:szCs w:val="20"/>
        </w:rPr>
        <w:t xml:space="preserve">Copertura (Tasso di) dei comuni: </w:t>
      </w:r>
      <w:r w:rsidRPr="007039EB">
        <w:rPr>
          <w:bCs/>
          <w:sz w:val="20"/>
          <w:szCs w:val="20"/>
        </w:rPr>
        <w:t>rapporto tra il numero dei comuni considerati e il numero di tutti i comuni italiani.</w:t>
      </w:r>
    </w:p>
    <w:p w14:paraId="536CA0BA" w14:textId="77777777" w:rsidR="00224EC5" w:rsidRPr="007039EB" w:rsidRDefault="00224EC5" w:rsidP="00224EC5">
      <w:pPr>
        <w:rPr>
          <w:bCs/>
          <w:sz w:val="20"/>
          <w:szCs w:val="20"/>
        </w:rPr>
      </w:pPr>
      <w:r w:rsidRPr="007039EB">
        <w:rPr>
          <w:b/>
          <w:bCs/>
          <w:sz w:val="20"/>
          <w:szCs w:val="20"/>
        </w:rPr>
        <w:t xml:space="preserve">Copertura (Tasso di) della popolazione: </w:t>
      </w:r>
      <w:r w:rsidRPr="007039EB">
        <w:rPr>
          <w:bCs/>
          <w:sz w:val="20"/>
          <w:szCs w:val="20"/>
        </w:rPr>
        <w:t>rapporto tra la somma della popolazione residente nei comuni considerati e la popolazione residente totale.</w:t>
      </w:r>
    </w:p>
    <w:p w14:paraId="16F560C0" w14:textId="77777777" w:rsidR="00224EC5" w:rsidRPr="007039EB" w:rsidRDefault="00224EC5" w:rsidP="00224EC5">
      <w:pPr>
        <w:spacing w:after="0"/>
        <w:rPr>
          <w:bCs/>
          <w:sz w:val="20"/>
          <w:szCs w:val="20"/>
        </w:rPr>
      </w:pPr>
      <w:r w:rsidRPr="007039EB">
        <w:rPr>
          <w:b/>
          <w:bCs/>
          <w:sz w:val="20"/>
          <w:szCs w:val="20"/>
        </w:rPr>
        <w:t>Decesso Covid-19</w:t>
      </w:r>
      <w:r w:rsidRPr="007039EB">
        <w:rPr>
          <w:bCs/>
          <w:sz w:val="20"/>
          <w:szCs w:val="20"/>
        </w:rPr>
        <w:t xml:space="preserve">: l’Organizzazione Mondiale della Sanità definisce un decesso da COVID-19 come segue: un decesso COVID-19 è definito per scopi di sorveglianza come una morte risultante da un quadro clinico patologico con un caso probabile o confermato (microbiologicamente) di Covid-19, a meno che ci sia una chiara causa alternativa di morte non riconducibile alla malattia associata a COVID </w:t>
      </w:r>
      <w:proofErr w:type="spellStart"/>
      <w:r w:rsidRPr="007039EB">
        <w:rPr>
          <w:bCs/>
          <w:sz w:val="20"/>
          <w:szCs w:val="20"/>
        </w:rPr>
        <w:t>disease</w:t>
      </w:r>
      <w:proofErr w:type="spellEnd"/>
      <w:r w:rsidRPr="007039EB">
        <w:rPr>
          <w:bCs/>
          <w:sz w:val="20"/>
          <w:szCs w:val="20"/>
        </w:rPr>
        <w:t xml:space="preserve"> (per esempio un trauma). </w:t>
      </w:r>
    </w:p>
    <w:p w14:paraId="5E8D6390" w14:textId="77777777" w:rsidR="00224EC5" w:rsidRPr="007039EB" w:rsidRDefault="00224EC5" w:rsidP="00224EC5">
      <w:pPr>
        <w:rPr>
          <w:bCs/>
          <w:sz w:val="20"/>
          <w:szCs w:val="20"/>
        </w:rPr>
      </w:pPr>
      <w:r w:rsidRPr="007039EB">
        <w:rPr>
          <w:bCs/>
          <w:sz w:val="20"/>
          <w:szCs w:val="20"/>
        </w:rPr>
        <w:t>https://www.who.int/docs/default-source/coronaviruse/situation-reports/20200411-sitrep-82-covid-19.pdf?sfvrsn=74a5d15_2</w:t>
      </w:r>
    </w:p>
    <w:p w14:paraId="7452D600" w14:textId="77777777" w:rsidR="007039EB" w:rsidRDefault="007039EB" w:rsidP="00224EC5">
      <w:pPr>
        <w:rPr>
          <w:b/>
          <w:bCs/>
          <w:sz w:val="20"/>
          <w:szCs w:val="20"/>
        </w:rPr>
      </w:pPr>
    </w:p>
    <w:p w14:paraId="024BD46F" w14:textId="77777777" w:rsidR="007039EB" w:rsidRDefault="007039EB" w:rsidP="00224EC5">
      <w:pPr>
        <w:rPr>
          <w:b/>
          <w:bCs/>
          <w:sz w:val="20"/>
          <w:szCs w:val="20"/>
        </w:rPr>
      </w:pPr>
    </w:p>
    <w:p w14:paraId="44E37A9F" w14:textId="77777777" w:rsidR="007039EB" w:rsidRDefault="007039EB" w:rsidP="00224EC5">
      <w:pPr>
        <w:rPr>
          <w:b/>
          <w:bCs/>
          <w:sz w:val="20"/>
          <w:szCs w:val="20"/>
        </w:rPr>
      </w:pPr>
    </w:p>
    <w:p w14:paraId="5A9BC2A8" w14:textId="6186FFE8" w:rsidR="007039EB" w:rsidRDefault="00224EC5" w:rsidP="00224EC5">
      <w:pPr>
        <w:rPr>
          <w:b/>
          <w:bCs/>
          <w:sz w:val="20"/>
          <w:szCs w:val="20"/>
        </w:rPr>
      </w:pPr>
      <w:r w:rsidRPr="007039EB">
        <w:rPr>
          <w:b/>
          <w:bCs/>
          <w:sz w:val="20"/>
          <w:szCs w:val="20"/>
        </w:rPr>
        <w:lastRenderedPageBreak/>
        <w:t xml:space="preserve">Cancellazione dall’anagrafe per decesso: </w:t>
      </w:r>
      <w:r w:rsidRPr="007039EB">
        <w:rPr>
          <w:bCs/>
          <w:sz w:val="20"/>
          <w:szCs w:val="20"/>
        </w:rPr>
        <w:t>la rilevazione sui cancellati dall’anagrafe per decesso raccoglie le principali caratteristiche individuali dei deceduti con le quali successivamente derivare le principali misure di sopravvivenza della popolazione residente. Le informazioni riguardanti le persone decedute sono quelle in possesso dell'Anagrafe del comune</w:t>
      </w:r>
      <w:r w:rsidR="00114073" w:rsidRPr="007039EB">
        <w:rPr>
          <w:bCs/>
          <w:sz w:val="20"/>
          <w:szCs w:val="20"/>
        </w:rPr>
        <w:t>.</w:t>
      </w:r>
    </w:p>
    <w:p w14:paraId="13EA8254" w14:textId="2EAA6970" w:rsidR="00224EC5" w:rsidRPr="007039EB" w:rsidRDefault="00224EC5" w:rsidP="00224EC5">
      <w:pPr>
        <w:rPr>
          <w:b/>
          <w:bCs/>
          <w:sz w:val="20"/>
          <w:szCs w:val="20"/>
        </w:rPr>
      </w:pPr>
      <w:r w:rsidRPr="007039EB">
        <w:rPr>
          <w:b/>
          <w:bCs/>
          <w:sz w:val="20"/>
          <w:szCs w:val="20"/>
        </w:rPr>
        <w:t xml:space="preserve">Eccesso di mortalità: </w:t>
      </w:r>
      <w:r w:rsidRPr="007039EB">
        <w:rPr>
          <w:bCs/>
          <w:sz w:val="20"/>
          <w:szCs w:val="20"/>
        </w:rPr>
        <w:t>differenza tra i decessi totali nel periodo</w:t>
      </w:r>
      <w:r w:rsidR="00B94B4D" w:rsidRPr="007039EB">
        <w:rPr>
          <w:bCs/>
          <w:sz w:val="20"/>
          <w:szCs w:val="20"/>
        </w:rPr>
        <w:t xml:space="preserve"> </w:t>
      </w:r>
      <w:r w:rsidRPr="007039EB">
        <w:rPr>
          <w:bCs/>
          <w:sz w:val="20"/>
          <w:szCs w:val="20"/>
        </w:rPr>
        <w:t>20/2/2020-31/3/2020 e la media dei decessi totali del quinquennio 201</w:t>
      </w:r>
      <w:r w:rsidR="009F18A9" w:rsidRPr="007039EB">
        <w:rPr>
          <w:bCs/>
          <w:sz w:val="20"/>
          <w:szCs w:val="20"/>
        </w:rPr>
        <w:t>5</w:t>
      </w:r>
      <w:r w:rsidRPr="007039EB">
        <w:rPr>
          <w:bCs/>
          <w:sz w:val="20"/>
          <w:szCs w:val="20"/>
        </w:rPr>
        <w:t>-2019 nello stesso periodo.</w:t>
      </w:r>
    </w:p>
    <w:p w14:paraId="269685CB" w14:textId="77777777" w:rsidR="00224EC5" w:rsidRPr="007039EB" w:rsidRDefault="00224EC5" w:rsidP="00224EC5">
      <w:pPr>
        <w:rPr>
          <w:bCs/>
          <w:sz w:val="20"/>
          <w:szCs w:val="20"/>
        </w:rPr>
      </w:pPr>
      <w:r w:rsidRPr="007039EB">
        <w:rPr>
          <w:b/>
          <w:bCs/>
          <w:sz w:val="20"/>
          <w:szCs w:val="20"/>
        </w:rPr>
        <w:t>Età mediana</w:t>
      </w:r>
      <w:r w:rsidRPr="007039EB">
        <w:rPr>
          <w:bCs/>
          <w:sz w:val="20"/>
          <w:szCs w:val="20"/>
        </w:rPr>
        <w:t>: età che divide una popolazione in due gruppi numericamente uguali; l'uno avente la popolazione di età inferiore a quella individuata, l'altro superiore.</w:t>
      </w:r>
    </w:p>
    <w:p w14:paraId="1F99EB42" w14:textId="07C9F8EE" w:rsidR="00411559" w:rsidRPr="007039EB" w:rsidRDefault="00411559" w:rsidP="00224EC5">
      <w:pPr>
        <w:rPr>
          <w:sz w:val="20"/>
          <w:szCs w:val="20"/>
        </w:rPr>
      </w:pPr>
      <w:r w:rsidRPr="007039EB">
        <w:rPr>
          <w:b/>
          <w:bCs/>
          <w:sz w:val="20"/>
          <w:szCs w:val="20"/>
        </w:rPr>
        <w:t xml:space="preserve">Effetto </w:t>
      </w:r>
      <w:proofErr w:type="spellStart"/>
      <w:r w:rsidRPr="007039EB">
        <w:rPr>
          <w:b/>
          <w:bCs/>
          <w:sz w:val="20"/>
          <w:szCs w:val="20"/>
        </w:rPr>
        <w:t>harvesting</w:t>
      </w:r>
      <w:proofErr w:type="spellEnd"/>
      <w:r w:rsidRPr="007039EB">
        <w:rPr>
          <w:bCs/>
          <w:sz w:val="20"/>
          <w:szCs w:val="20"/>
        </w:rPr>
        <w:t xml:space="preserve">: </w:t>
      </w:r>
      <w:r w:rsidRPr="007039EB">
        <w:rPr>
          <w:sz w:val="20"/>
          <w:szCs w:val="20"/>
        </w:rPr>
        <w:t xml:space="preserve">Si tratta dell’aumento della mortalità generale a seguito di fattori ambientali o climatici particolarmente sfavorevoli (ad esempio inquinamento, caldo eccessivo) o a condizioni epidemiologiche (come in caso di epidemie) dovuto ai decessi in prevalenza di  persone con condizioni di salute molto compromesse; si verificherebbe in questo caso un’anticipazione di decessi che sarebbero comunque avvenuti nel breve periodo (questo fenomeno è noto col nome di </w:t>
      </w:r>
      <w:proofErr w:type="spellStart"/>
      <w:r w:rsidRPr="007039EB">
        <w:rPr>
          <w:sz w:val="20"/>
          <w:szCs w:val="20"/>
        </w:rPr>
        <w:t>harvesting</w:t>
      </w:r>
      <w:proofErr w:type="spellEnd"/>
      <w:r w:rsidRPr="007039EB">
        <w:rPr>
          <w:sz w:val="20"/>
          <w:szCs w:val="20"/>
        </w:rPr>
        <w:t>, cioè “mietitura”), mentre successivamente si dovrebbe assistere a una diminuzione della mortalità.</w:t>
      </w:r>
    </w:p>
    <w:p w14:paraId="779775D7" w14:textId="76022A6D" w:rsidR="00224EC5" w:rsidRPr="007039EB" w:rsidRDefault="00224EC5" w:rsidP="00224EC5">
      <w:pPr>
        <w:rPr>
          <w:b/>
          <w:bCs/>
          <w:sz w:val="20"/>
          <w:szCs w:val="20"/>
        </w:rPr>
      </w:pPr>
      <w:r w:rsidRPr="007039EB">
        <w:rPr>
          <w:b/>
          <w:bCs/>
          <w:sz w:val="20"/>
          <w:szCs w:val="20"/>
        </w:rPr>
        <w:t xml:space="preserve">Incidenza: </w:t>
      </w:r>
      <w:r w:rsidRPr="007039EB">
        <w:rPr>
          <w:bCs/>
          <w:sz w:val="20"/>
          <w:szCs w:val="20"/>
        </w:rPr>
        <w:t>rapporto tra numero di casi di una malattia sulla popolazione a rischio in un certo periodo di tempo. Se il periodo di tempo è uguale per tutta la popolazione l’incidenza viene definita cumulativa</w:t>
      </w:r>
      <w:r w:rsidR="00114073" w:rsidRPr="007039EB">
        <w:rPr>
          <w:bCs/>
          <w:sz w:val="20"/>
          <w:szCs w:val="20"/>
        </w:rPr>
        <w:t>.</w:t>
      </w:r>
      <w:r w:rsidRPr="007039EB">
        <w:rPr>
          <w:b/>
          <w:bCs/>
          <w:sz w:val="20"/>
          <w:szCs w:val="20"/>
        </w:rPr>
        <w:t xml:space="preserve"> </w:t>
      </w:r>
    </w:p>
    <w:p w14:paraId="0890A2AF" w14:textId="4C229CBF" w:rsidR="00224EC5" w:rsidRPr="007039EB" w:rsidRDefault="00224EC5" w:rsidP="00224EC5">
      <w:pPr>
        <w:rPr>
          <w:bCs/>
          <w:sz w:val="20"/>
          <w:szCs w:val="20"/>
        </w:rPr>
      </w:pPr>
      <w:r w:rsidRPr="007039EB">
        <w:rPr>
          <w:b/>
          <w:bCs/>
          <w:sz w:val="20"/>
          <w:szCs w:val="20"/>
        </w:rPr>
        <w:t>Letalità</w:t>
      </w:r>
      <w:r w:rsidRPr="007039EB">
        <w:rPr>
          <w:bCs/>
          <w:sz w:val="20"/>
          <w:szCs w:val="20"/>
        </w:rPr>
        <w:t>: rapporto tra il numero di morti e il numero di malati con una determinata malattia, relativamente a una data popolazione e a un dato intervallo</w:t>
      </w:r>
      <w:r w:rsidR="00114073" w:rsidRPr="007039EB">
        <w:rPr>
          <w:bCs/>
          <w:sz w:val="20"/>
          <w:szCs w:val="20"/>
        </w:rPr>
        <w:t>.</w:t>
      </w:r>
    </w:p>
    <w:p w14:paraId="1E2853CB" w14:textId="0092B949" w:rsidR="00224EC5" w:rsidRPr="007039EB" w:rsidRDefault="00224EC5" w:rsidP="00224EC5">
      <w:pPr>
        <w:rPr>
          <w:bCs/>
          <w:sz w:val="20"/>
          <w:szCs w:val="20"/>
        </w:rPr>
      </w:pPr>
      <w:r w:rsidRPr="007039EB">
        <w:rPr>
          <w:b/>
          <w:bCs/>
          <w:sz w:val="20"/>
          <w:szCs w:val="20"/>
        </w:rPr>
        <w:t>Popolazione residente</w:t>
      </w:r>
      <w:r w:rsidRPr="007039EB">
        <w:rPr>
          <w:bCs/>
          <w:sz w:val="20"/>
          <w:szCs w:val="20"/>
        </w:rPr>
        <w:t>: è costituita dalle persone, di cittadinanza italiana e straniera, aventi dimora abituale nel territorio nazionale anche se temporaneamente assenti. Ogni persona avente dimora abituale in Italia deve iscriversi, per obbligo di legge, nell’anagrafe del comune nel quale ha stabilito la sua dimora abituale. In seguito ad ogni Censimento della popolazione viene determinata la popolazione legale. A tale popolazione si s</w:t>
      </w:r>
      <w:r w:rsidR="00146A4A" w:rsidRPr="007039EB">
        <w:rPr>
          <w:bCs/>
          <w:sz w:val="20"/>
          <w:szCs w:val="20"/>
        </w:rPr>
        <w:t xml:space="preserve">omma il movimento anagrafico dei periodi successivi </w:t>
      </w:r>
      <w:r w:rsidRPr="007039EB">
        <w:rPr>
          <w:bCs/>
          <w:sz w:val="20"/>
          <w:szCs w:val="20"/>
        </w:rPr>
        <w:t xml:space="preserve">e si calcola così la popolazione residente in ciascun comune al 31 di dicembre di ogni anno. </w:t>
      </w:r>
    </w:p>
    <w:p w14:paraId="349738F2" w14:textId="33921633" w:rsidR="00224EC5" w:rsidRPr="007039EB" w:rsidRDefault="00224EC5" w:rsidP="00224EC5">
      <w:pPr>
        <w:rPr>
          <w:b/>
          <w:sz w:val="20"/>
          <w:szCs w:val="20"/>
          <w:shd w:val="clear" w:color="auto" w:fill="FDFDFC"/>
        </w:rPr>
      </w:pPr>
      <w:r w:rsidRPr="007039EB">
        <w:rPr>
          <w:b/>
          <w:bCs/>
          <w:sz w:val="20"/>
          <w:szCs w:val="20"/>
        </w:rPr>
        <w:t>Tampone positivo</w:t>
      </w:r>
      <w:r w:rsidRPr="007039EB">
        <w:rPr>
          <w:bCs/>
          <w:sz w:val="20"/>
          <w:szCs w:val="20"/>
        </w:rPr>
        <w:t xml:space="preserve">: con tale termine si intende il risultato positivo ad un test diagnostico di riferimento su un saggio di real-time RT-PCR che consiste sostanzialmente in un’amplificazione del genoma. Nel caso del SARS-Cov-2 il prelievo del materiale biologico (campione) viene effettuato attraverso un aspirato </w:t>
      </w:r>
      <w:proofErr w:type="spellStart"/>
      <w:r w:rsidRPr="007039EB">
        <w:rPr>
          <w:bCs/>
          <w:sz w:val="20"/>
          <w:szCs w:val="20"/>
        </w:rPr>
        <w:t>rino</w:t>
      </w:r>
      <w:proofErr w:type="spellEnd"/>
      <w:r w:rsidRPr="007039EB">
        <w:rPr>
          <w:bCs/>
          <w:sz w:val="20"/>
          <w:szCs w:val="20"/>
        </w:rPr>
        <w:t>-faringeo o a un tampone naso-faringeo o oro-faringeo. L’analisi dei tamponi viene effettuata in tutti i laboratori di riferimento regionali e presso i principali ospedali individuati dalle Regioni.</w:t>
      </w:r>
    </w:p>
    <w:p w14:paraId="2870760E" w14:textId="497CB14F" w:rsidR="00224EC5" w:rsidRPr="007039EB" w:rsidRDefault="00EE1D56" w:rsidP="00224EC5">
      <w:pPr>
        <w:rPr>
          <w:bCs/>
          <w:sz w:val="20"/>
          <w:szCs w:val="20"/>
        </w:rPr>
      </w:pPr>
      <w:r w:rsidRPr="007039EB">
        <w:rPr>
          <w:b/>
          <w:bCs/>
          <w:sz w:val="20"/>
          <w:szCs w:val="20"/>
        </w:rPr>
        <w:t>Tasso standar</w:t>
      </w:r>
      <w:r w:rsidR="00146A4A" w:rsidRPr="007039EB">
        <w:rPr>
          <w:b/>
          <w:bCs/>
          <w:sz w:val="20"/>
          <w:szCs w:val="20"/>
        </w:rPr>
        <w:t xml:space="preserve">dizzato di mortalità: </w:t>
      </w:r>
      <w:r w:rsidRPr="007039EB">
        <w:rPr>
          <w:bCs/>
          <w:sz w:val="20"/>
          <w:szCs w:val="20"/>
        </w:rPr>
        <w:t>aggiustamento del tasso di mortalità che permette di confrontare popolazioni che hanno distribuzione per età tra loro diverse. Il metodo di standardizzazione diretto per età è quello più utilizzato e consiste nel sommare i tassi che sono calcolati per ogni specifico gruppo di età su una popolazione di struttura standard.</w:t>
      </w:r>
    </w:p>
    <w:p w14:paraId="4FAB087A" w14:textId="77777777" w:rsidR="007E07CD" w:rsidRPr="001B2529" w:rsidRDefault="007E07CD" w:rsidP="00224EC5">
      <w:pPr>
        <w:rPr>
          <w:bCs/>
        </w:rPr>
      </w:pPr>
    </w:p>
    <w:p w14:paraId="762925F8" w14:textId="28E52740" w:rsidR="00224EC5" w:rsidRPr="00B862C9" w:rsidRDefault="00224EC5" w:rsidP="00224EC5">
      <w:pPr>
        <w:rPr>
          <w:b/>
          <w:sz w:val="24"/>
          <w:szCs w:val="24"/>
          <w:shd w:val="clear" w:color="auto" w:fill="FDFDFC"/>
        </w:rPr>
      </w:pPr>
      <w:r>
        <w:rPr>
          <w:b/>
          <w:sz w:val="24"/>
          <w:szCs w:val="24"/>
          <w:shd w:val="clear" w:color="auto" w:fill="FDFDFC"/>
        </w:rPr>
        <w:t>Ufficio Stampa Istat                                                                         Ufficio Stampa ISS</w:t>
      </w:r>
    </w:p>
    <w:p w14:paraId="0A58023F" w14:textId="275ECD75" w:rsidR="00134AF2" w:rsidRDefault="006D4CC6" w:rsidP="00134AF2">
      <w:pPr>
        <w:spacing w:before="120" w:after="0" w:line="240" w:lineRule="auto"/>
        <w:rPr>
          <w:shd w:val="clear" w:color="auto" w:fill="FDFDFC"/>
        </w:rPr>
      </w:pPr>
      <w:hyperlink r:id="rId39" w:history="1">
        <w:r w:rsidR="00B94B4D" w:rsidRPr="006706D9">
          <w:rPr>
            <w:rStyle w:val="Collegamentoipertestuale"/>
            <w:shd w:val="clear" w:color="auto" w:fill="FDFDFC"/>
          </w:rPr>
          <w:t>ufficiostampa@istat.it</w:t>
        </w:r>
      </w:hyperlink>
      <w:r w:rsidR="00B94B4D">
        <w:rPr>
          <w:shd w:val="clear" w:color="auto" w:fill="FDFDFC"/>
        </w:rPr>
        <w:tab/>
      </w:r>
      <w:r w:rsidR="00B94B4D">
        <w:rPr>
          <w:shd w:val="clear" w:color="auto" w:fill="FDFDFC"/>
        </w:rPr>
        <w:tab/>
      </w:r>
      <w:r w:rsidR="00B94B4D">
        <w:rPr>
          <w:shd w:val="clear" w:color="auto" w:fill="FDFDFC"/>
        </w:rPr>
        <w:tab/>
      </w:r>
      <w:r w:rsidR="00B94B4D">
        <w:rPr>
          <w:shd w:val="clear" w:color="auto" w:fill="FDFDFC"/>
        </w:rPr>
        <w:tab/>
      </w:r>
      <w:r w:rsidR="00B94B4D">
        <w:rPr>
          <w:shd w:val="clear" w:color="auto" w:fill="FDFDFC"/>
        </w:rPr>
        <w:tab/>
      </w:r>
      <w:r w:rsidR="00B94B4D">
        <w:rPr>
          <w:shd w:val="clear" w:color="auto" w:fill="FDFDFC"/>
        </w:rPr>
        <w:tab/>
      </w:r>
      <w:r w:rsidR="00B94B4D">
        <w:rPr>
          <w:shd w:val="clear" w:color="auto" w:fill="FDFDFC"/>
        </w:rPr>
        <w:tab/>
      </w:r>
      <w:r w:rsidR="00B94B4D">
        <w:rPr>
          <w:shd w:val="clear" w:color="auto" w:fill="FDFDFC"/>
        </w:rPr>
        <w:tab/>
        <w:t xml:space="preserve"> </w:t>
      </w:r>
      <w:hyperlink r:id="rId40" w:history="1">
        <w:r w:rsidR="00B94B4D" w:rsidRPr="006706D9">
          <w:rPr>
            <w:rStyle w:val="Collegamentoipertestuale"/>
            <w:shd w:val="clear" w:color="auto" w:fill="FDFDFC"/>
          </w:rPr>
          <w:t>ufficio.stampa@iss.it</w:t>
        </w:r>
      </w:hyperlink>
    </w:p>
    <w:p w14:paraId="601FA41C" w14:textId="5077BC26" w:rsidR="00B94B4D" w:rsidRPr="00134AF2" w:rsidRDefault="00066715" w:rsidP="00134AF2">
      <w:pPr>
        <w:spacing w:before="120" w:after="0" w:line="240" w:lineRule="auto"/>
        <w:rPr>
          <w:shd w:val="clear" w:color="auto" w:fill="FDFDFC"/>
        </w:rPr>
      </w:pPr>
      <w:r>
        <w:rPr>
          <w:shd w:val="clear" w:color="auto" w:fill="FDFDFC"/>
        </w:rPr>
        <w:t>tel. 06 4673.2243-2244</w:t>
      </w:r>
      <w:r w:rsidR="00B94B4D">
        <w:rPr>
          <w:shd w:val="clear" w:color="auto" w:fill="FDFDFC"/>
        </w:rPr>
        <w:tab/>
      </w:r>
      <w:r w:rsidR="00B94B4D">
        <w:rPr>
          <w:shd w:val="clear" w:color="auto" w:fill="FDFDFC"/>
        </w:rPr>
        <w:tab/>
      </w:r>
      <w:r w:rsidR="00A9361E">
        <w:rPr>
          <w:shd w:val="clear" w:color="auto" w:fill="FDFDFC"/>
        </w:rPr>
        <w:t xml:space="preserve">   </w:t>
      </w:r>
      <w:r>
        <w:rPr>
          <w:shd w:val="clear" w:color="auto" w:fill="FDFDFC"/>
        </w:rPr>
        <w:tab/>
      </w:r>
      <w:r>
        <w:rPr>
          <w:shd w:val="clear" w:color="auto" w:fill="FDFDFC"/>
        </w:rPr>
        <w:tab/>
      </w:r>
      <w:r>
        <w:rPr>
          <w:shd w:val="clear" w:color="auto" w:fill="FDFDFC"/>
        </w:rPr>
        <w:tab/>
      </w:r>
      <w:r>
        <w:rPr>
          <w:shd w:val="clear" w:color="auto" w:fill="FDFDFC"/>
        </w:rPr>
        <w:tab/>
      </w:r>
      <w:r>
        <w:rPr>
          <w:shd w:val="clear" w:color="auto" w:fill="FDFDFC"/>
        </w:rPr>
        <w:tab/>
        <w:t xml:space="preserve">  </w:t>
      </w:r>
      <w:r w:rsidR="00A9361E">
        <w:rPr>
          <w:shd w:val="clear" w:color="auto" w:fill="FDFDFC"/>
        </w:rPr>
        <w:t>tel. 06</w:t>
      </w:r>
      <w:r>
        <w:rPr>
          <w:shd w:val="clear" w:color="auto" w:fill="FDFDFC"/>
        </w:rPr>
        <w:t xml:space="preserve"> </w:t>
      </w:r>
      <w:r w:rsidR="00A9361E">
        <w:rPr>
          <w:shd w:val="clear" w:color="auto" w:fill="FDFDFC"/>
        </w:rPr>
        <w:t>4990.6601</w:t>
      </w:r>
    </w:p>
    <w:sectPr w:rsidR="00B94B4D" w:rsidRPr="00134AF2" w:rsidSect="00DA701F">
      <w:headerReference w:type="default" r:id="rId41"/>
      <w:footerReference w:type="even" r:id="rId42"/>
      <w:footerReference w:type="default" r:id="rId43"/>
      <w:headerReference w:type="first" r:id="rId44"/>
      <w:pgSz w:w="11906" w:h="16838"/>
      <w:pgMar w:top="1843" w:right="1134" w:bottom="1134" w:left="1134" w:header="0"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A3716" w14:textId="77777777" w:rsidR="006D4CC6" w:rsidRDefault="006D4CC6" w:rsidP="001C44B8">
      <w:r>
        <w:separator/>
      </w:r>
    </w:p>
  </w:endnote>
  <w:endnote w:type="continuationSeparator" w:id="0">
    <w:p w14:paraId="55D21687" w14:textId="77777777" w:rsidR="006D4CC6" w:rsidRDefault="006D4CC6" w:rsidP="001C44B8">
      <w:r>
        <w:continuationSeparator/>
      </w:r>
    </w:p>
  </w:endnote>
  <w:endnote w:type="continuationNotice" w:id="1">
    <w:p w14:paraId="463C6FB0" w14:textId="77777777" w:rsidR="006D4CC6" w:rsidRDefault="006D4CC6" w:rsidP="001C4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CEBEB" w14:textId="77777777" w:rsidR="00C3104C" w:rsidRDefault="00C3104C" w:rsidP="001C44B8">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14:paraId="72238304" w14:textId="77777777" w:rsidR="00C3104C" w:rsidRDefault="00C3104C" w:rsidP="001C44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357E8" w14:textId="08055E31" w:rsidR="00C3104C" w:rsidRPr="00B32634" w:rsidRDefault="00C3104C" w:rsidP="001C44B8">
    <w:pPr>
      <w:jc w:val="center"/>
      <w:rPr>
        <w:color w:val="003366"/>
      </w:rPr>
    </w:pPr>
    <w:r w:rsidRPr="00B32634">
      <w:fldChar w:fldCharType="begin"/>
    </w:r>
    <w:r w:rsidRPr="00B32634">
      <w:instrText xml:space="preserve">PAGE  </w:instrText>
    </w:r>
    <w:r w:rsidRPr="00B32634">
      <w:fldChar w:fldCharType="separate"/>
    </w:r>
    <w:r w:rsidR="009634F8">
      <w:rPr>
        <w:noProof/>
      </w:rPr>
      <w:t>1</w:t>
    </w:r>
    <w:r w:rsidRPr="00B3263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655F2" w14:textId="77777777" w:rsidR="006D4CC6" w:rsidRDefault="006D4CC6" w:rsidP="001C44B8">
      <w:r>
        <w:separator/>
      </w:r>
    </w:p>
  </w:footnote>
  <w:footnote w:type="continuationSeparator" w:id="0">
    <w:p w14:paraId="605BBA0B" w14:textId="77777777" w:rsidR="006D4CC6" w:rsidRDefault="006D4CC6" w:rsidP="001C44B8">
      <w:r>
        <w:continuationSeparator/>
      </w:r>
    </w:p>
  </w:footnote>
  <w:footnote w:type="continuationNotice" w:id="1">
    <w:p w14:paraId="404E0620" w14:textId="77777777" w:rsidR="006D4CC6" w:rsidRDefault="006D4CC6" w:rsidP="001C44B8"/>
  </w:footnote>
  <w:footnote w:id="2">
    <w:p w14:paraId="4BAC798E" w14:textId="77777777" w:rsidR="00E15A36" w:rsidRDefault="00E15A36" w:rsidP="00E15A36">
      <w:pPr>
        <w:pStyle w:val="Testonotaapidipagina"/>
      </w:pPr>
      <w:r>
        <w:rPr>
          <w:rStyle w:val="Rimandonotaapidipagina"/>
        </w:rPr>
        <w:footnoteRef/>
      </w:r>
      <w:r>
        <w:t xml:space="preserve"> Per le informazioni sulla qualità e copertura dei dati di mortalità si veda la Nota Metodologica allegata al Rapporto</w:t>
      </w:r>
    </w:p>
  </w:footnote>
  <w:footnote w:id="3">
    <w:p w14:paraId="03B74DC0" w14:textId="77777777" w:rsidR="00E15A36" w:rsidRDefault="00E15A36" w:rsidP="00E15A36">
      <w:pPr>
        <w:spacing w:after="0"/>
        <w:rPr>
          <w:rFonts w:ascii="Arial Narrow" w:hAnsi="Arial Narrow"/>
          <w:iCs w:val="0"/>
          <w:sz w:val="18"/>
          <w:szCs w:val="18"/>
        </w:rPr>
      </w:pPr>
      <w:r>
        <w:rPr>
          <w:rStyle w:val="Rimandonotaapidipagina"/>
        </w:rPr>
        <w:footnoteRef/>
      </w:r>
      <w:r>
        <w:t xml:space="preserve"> </w:t>
      </w:r>
      <w:r w:rsidRPr="00C47372">
        <w:rPr>
          <w:rFonts w:ascii="Arial Narrow" w:hAnsi="Arial Narrow"/>
          <w:iCs w:val="0"/>
          <w:sz w:val="18"/>
          <w:szCs w:val="18"/>
        </w:rPr>
        <w:t>Si precisa che i dati della Sorveglianza Nazionale integrata Covid-19 dell’ISS non sono perfettamente allineati con</w:t>
      </w:r>
      <w:r>
        <w:rPr>
          <w:rFonts w:ascii="Arial Narrow" w:hAnsi="Arial Narrow"/>
          <w:iCs w:val="0"/>
          <w:sz w:val="18"/>
          <w:szCs w:val="18"/>
        </w:rPr>
        <w:t xml:space="preserve"> il flusso </w:t>
      </w:r>
      <w:r w:rsidRPr="00C47372">
        <w:rPr>
          <w:rFonts w:ascii="Arial Narrow" w:hAnsi="Arial Narrow"/>
          <w:iCs w:val="0"/>
          <w:sz w:val="18"/>
          <w:szCs w:val="18"/>
        </w:rPr>
        <w:t xml:space="preserve">della Protezione Civile e del Ministero della Salute che riportano dati aggregati inviati giornalmente dalle regioni </w:t>
      </w:r>
    </w:p>
    <w:p w14:paraId="2A2E827D" w14:textId="77777777" w:rsidR="00E15A36" w:rsidRDefault="006D4CC6" w:rsidP="00E15A36">
      <w:pPr>
        <w:spacing w:after="0"/>
      </w:pPr>
      <w:hyperlink r:id="rId1" w:anchor="/b0c68bce2cce478eaac82fe38d4138b1" w:history="1">
        <w:r w:rsidR="00E15A36" w:rsidRPr="00C47372">
          <w:rPr>
            <w:rFonts w:ascii="Arial Narrow" w:hAnsi="Arial Narrow"/>
            <w:iCs w:val="0"/>
            <w:sz w:val="18"/>
            <w:szCs w:val="18"/>
          </w:rPr>
          <w:t>http://opendatadpc.maps.arcgis.com/apps/opsdashboard/index.html#/b0c68bce2cce478eaac82fe38d4138b1</w:t>
        </w:r>
      </w:hyperlink>
    </w:p>
  </w:footnote>
  <w:footnote w:id="4">
    <w:p w14:paraId="52DA65E4" w14:textId="77777777" w:rsidR="00C3104C" w:rsidRDefault="00C3104C" w:rsidP="00C47372">
      <w:pPr>
        <w:rPr>
          <w:i/>
        </w:rPr>
      </w:pPr>
      <w:r>
        <w:rPr>
          <w:rStyle w:val="Rimandonotaapidipagina"/>
        </w:rPr>
        <w:footnoteRef/>
      </w:r>
      <w:r>
        <w:t xml:space="preserve"> </w:t>
      </w:r>
      <w:r w:rsidRPr="00C47372">
        <w:rPr>
          <w:rFonts w:ascii="Arial Narrow" w:hAnsi="Arial Narrow"/>
          <w:sz w:val="18"/>
          <w:szCs w:val="18"/>
        </w:rPr>
        <w:t>Data di estrazione della base dati della sorveglianza integrata 25 maggio 2020</w:t>
      </w:r>
    </w:p>
    <w:p w14:paraId="1F83AC3A" w14:textId="77777777" w:rsidR="00C3104C" w:rsidRDefault="00C3104C" w:rsidP="00C47372">
      <w:pPr>
        <w:pStyle w:val="Testonotaapidipagina"/>
      </w:pPr>
    </w:p>
  </w:footnote>
  <w:footnote w:id="5">
    <w:p w14:paraId="6697F72D" w14:textId="77777777" w:rsidR="00CB2E25" w:rsidRPr="00383269" w:rsidRDefault="00CB2E25" w:rsidP="00CB2E25">
      <w:pPr>
        <w:pStyle w:val="Testonotaapidipagina"/>
      </w:pPr>
      <w:r>
        <w:rPr>
          <w:rStyle w:val="Rimandonotaapidipagina"/>
        </w:rPr>
        <w:footnoteRef/>
      </w:r>
      <w:r w:rsidRPr="00383269">
        <w:t xml:space="preserve"> </w:t>
      </w:r>
      <w:r>
        <w:t xml:space="preserve">Cfr. </w:t>
      </w:r>
      <w:r w:rsidRPr="00383269">
        <w:t>Istat-</w:t>
      </w:r>
      <w:proofErr w:type="spellStart"/>
      <w:r w:rsidRPr="00383269">
        <w:t>Iss</w:t>
      </w:r>
      <w:proofErr w:type="spellEnd"/>
      <w:r>
        <w:t>. IMPATTO DELL’EPIDEMIA COVID-19 SULLA MORTALITÀ TOTALE DELLA POPOLAZIONE RESIDENTE PRIMO TRIMESTRE 2020</w:t>
      </w:r>
      <w:r w:rsidRPr="00383269">
        <w:t xml:space="preserve"> </w:t>
      </w:r>
      <w:r>
        <w:t xml:space="preserve">  </w:t>
      </w:r>
      <w:hyperlink r:id="rId2" w:history="1">
        <w:r w:rsidRPr="00383269">
          <w:rPr>
            <w:rStyle w:val="Collegamentoipertestuale"/>
            <w:iCs/>
          </w:rPr>
          <w:t>https://www.istat.it/it/files/2020/05/Rapporto_Istat_ISS.pdf</w:t>
        </w:r>
      </w:hyperlink>
    </w:p>
  </w:footnote>
  <w:footnote w:id="6">
    <w:p w14:paraId="6EF26C49" w14:textId="77777777" w:rsidR="00CB2E25" w:rsidRPr="00136674" w:rsidRDefault="00CB2E25" w:rsidP="00CB2E25">
      <w:pPr>
        <w:pStyle w:val="Testonotaapidipagina"/>
      </w:pPr>
      <w:r>
        <w:rPr>
          <w:rStyle w:val="Rimandonotaapidipagina"/>
        </w:rPr>
        <w:footnoteRef/>
      </w:r>
      <w:r>
        <w:t xml:space="preserve"> </w:t>
      </w:r>
      <w:r w:rsidRPr="00136674">
        <w:t>Popolazione Standard Italia al Censimento 2011</w:t>
      </w:r>
    </w:p>
  </w:footnote>
  <w:footnote w:id="7">
    <w:p w14:paraId="65311EC9" w14:textId="77777777" w:rsidR="00CB2E25" w:rsidRDefault="00CB2E25" w:rsidP="00CB2E25">
      <w:pPr>
        <w:pStyle w:val="Testonotaapidipagina"/>
      </w:pPr>
      <w:r>
        <w:rPr>
          <w:rStyle w:val="Rimandonotaapidipagina"/>
        </w:rPr>
        <w:footnoteRef/>
      </w:r>
      <w:r w:rsidRPr="00A61D6B">
        <w:rPr>
          <w:lang w:val="en-GB"/>
        </w:rPr>
        <w:t xml:space="preserve"> </w:t>
      </w:r>
      <w:r w:rsidRPr="0025610D">
        <w:rPr>
          <w:lang w:val="en-GB"/>
        </w:rPr>
        <w:t xml:space="preserve">Riccardo et al. Epidemiological characteristics of Covid-19 cases in Italy and estimates of the reproductive numbers one month into the epidemic. </w:t>
      </w:r>
      <w:r w:rsidR="006D4CC6">
        <w:fldChar w:fldCharType="begin"/>
      </w:r>
      <w:r w:rsidR="006D4CC6" w:rsidRPr="007544F6">
        <w:rPr>
          <w:lang w:val="en-US"/>
        </w:rPr>
        <w:instrText xml:space="preserve"> HYPERLINK "https://www.medrxiv.org/content/10.1101/2020.04.08.20056861v1.full.pdf" </w:instrText>
      </w:r>
      <w:r w:rsidR="006D4CC6">
        <w:fldChar w:fldCharType="separate"/>
      </w:r>
      <w:r w:rsidRPr="00E860CC">
        <w:t>https://www.medrxiv.org/content/10.1101/2020.04.08.20056861v1.full.pdf</w:t>
      </w:r>
      <w:r w:rsidR="006D4CC6">
        <w:fldChar w:fldCharType="end"/>
      </w:r>
      <w:r w:rsidRPr="00E860CC">
        <w:t xml:space="preserve">; Bollettino Sorveglianza Integrata Covid-19, 30 Aprile 2020, </w:t>
      </w:r>
      <w:proofErr w:type="spellStart"/>
      <w:r w:rsidRPr="00E860CC">
        <w:t>Iss</w:t>
      </w:r>
      <w:proofErr w:type="spellEnd"/>
      <w:r w:rsidRPr="00E860CC">
        <w:t>. https://www.epicentro.iss.it/coronavirus/bollettino/Bollettino-sorveglianza-integrata-</w:t>
      </w:r>
      <w:r>
        <w:t>Covid</w:t>
      </w:r>
      <w:r w:rsidRPr="00E860CC">
        <w:t>-19_28-aprile-2020.pdf</w:t>
      </w:r>
    </w:p>
  </w:footnote>
  <w:footnote w:id="8">
    <w:p w14:paraId="2876DF03" w14:textId="77777777" w:rsidR="00CB2E25" w:rsidRDefault="00CB2E25" w:rsidP="00CB2E25">
      <w:pPr>
        <w:pStyle w:val="Testonotaapidipagina"/>
      </w:pPr>
      <w:r>
        <w:rPr>
          <w:rStyle w:val="Rimandonotaapidipagina"/>
        </w:rPr>
        <w:footnoteRef/>
      </w:r>
      <w:r>
        <w:t xml:space="preserve"> I casi nel grafico sono di poco inferiori a quelli realmente mostrati nei bollettini in quanto una percentuale delle notifiche non può essere collocata in una classe di diffusione per mancanza di provincia di domicilio/residenza</w:t>
      </w:r>
    </w:p>
  </w:footnote>
  <w:footnote w:id="9">
    <w:p w14:paraId="1AF73E84" w14:textId="77777777" w:rsidR="00844488" w:rsidRDefault="00844488" w:rsidP="00844488">
      <w:pPr>
        <w:pStyle w:val="Testonotaapidipagina"/>
      </w:pPr>
      <w:r>
        <w:rPr>
          <w:rStyle w:val="Rimandonotaapidipagina"/>
        </w:rPr>
        <w:footnoteRef/>
      </w:r>
      <w:r>
        <w:t xml:space="preserve"> </w:t>
      </w:r>
      <w:r w:rsidRPr="00A61D6B">
        <w:rPr>
          <w:color w:val="000000" w:themeColor="text1"/>
        </w:rPr>
        <w:t>Popolazione Standard Italia al Censimento 2011</w:t>
      </w:r>
      <w:r>
        <w:rPr>
          <w:color w:val="000000" w:themeColor="text1"/>
        </w:rPr>
        <w:t>.</w:t>
      </w:r>
    </w:p>
  </w:footnote>
  <w:footnote w:id="10">
    <w:p w14:paraId="5F129B93" w14:textId="77777777" w:rsidR="004B1F71" w:rsidRDefault="004B1F71" w:rsidP="004B1F71">
      <w:pPr>
        <w:pStyle w:val="Testonotaapidipagina"/>
      </w:pPr>
      <w:r>
        <w:rPr>
          <w:rStyle w:val="Rimandonotaapidipagina"/>
        </w:rPr>
        <w:footnoteRef/>
      </w:r>
      <w:r>
        <w:t xml:space="preserve"> A seguito del consolidamento delle basi dati e dell’aumento del numero di comuni per cui si dispone di informazioni affidabili sulla mortalità totale, i dati del presente report riferiti al primo trimestre del 2020 possono differire da quelli pubblicati del primo report congiunto Istat-</w:t>
      </w:r>
      <w:proofErr w:type="spellStart"/>
      <w:r>
        <w:t>Iss</w:t>
      </w:r>
      <w:proofErr w:type="spellEnd"/>
      <w:r>
        <w:t xml:space="preserve"> diffuso il 4 maggio 2020. </w:t>
      </w:r>
    </w:p>
  </w:footnote>
  <w:footnote w:id="11">
    <w:p w14:paraId="49A6B581" w14:textId="77777777" w:rsidR="001C4730" w:rsidRDefault="001C4730" w:rsidP="001C4730">
      <w:pPr>
        <w:pStyle w:val="Testonotaapidipagina"/>
      </w:pPr>
      <w:r>
        <w:rPr>
          <w:rStyle w:val="Rimandonotaapidipagina"/>
        </w:rPr>
        <w:footnoteRef/>
      </w:r>
      <w:r>
        <w:t xml:space="preserve"> </w:t>
      </w:r>
      <w:r w:rsidRPr="00BB2D1C">
        <w:t>Cfr. glossario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00771" w14:textId="5E91FA90" w:rsidR="00C3104C" w:rsidRDefault="00C3104C" w:rsidP="001C44B8">
    <w:pPr>
      <w:pStyle w:val="Intestazione"/>
    </w:pPr>
    <w:r>
      <w:rPr>
        <w:noProof/>
      </w:rPr>
      <mc:AlternateContent>
        <mc:Choice Requires="wps">
          <w:drawing>
            <wp:anchor distT="0" distB="0" distL="114300" distR="114300" simplePos="0" relativeHeight="251664384" behindDoc="0" locked="0" layoutInCell="1" allowOverlap="1" wp14:anchorId="205A2289" wp14:editId="329FB149">
              <wp:simplePos x="0" y="0"/>
              <wp:positionH relativeFrom="column">
                <wp:posOffset>635</wp:posOffset>
              </wp:positionH>
              <wp:positionV relativeFrom="paragraph">
                <wp:posOffset>1125757</wp:posOffset>
              </wp:positionV>
              <wp:extent cx="6101080" cy="0"/>
              <wp:effectExtent l="0" t="0" r="7620" b="12700"/>
              <wp:wrapNone/>
              <wp:docPr id="32" name="Connettore 1 32"/>
              <wp:cNvGraphicFramePr/>
              <a:graphic xmlns:a="http://schemas.openxmlformats.org/drawingml/2006/main">
                <a:graphicData uri="http://schemas.microsoft.com/office/word/2010/wordprocessingShape">
                  <wps:wsp>
                    <wps:cNvCnPr/>
                    <wps:spPr>
                      <a:xfrm>
                        <a:off x="0" y="0"/>
                        <a:ext cx="610108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BF0838" id="Connettore 1 3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5pt,88.65pt" to="480.45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" strokecolor="#a5a5a5 [2092]" strokeweight="1pt">
              <v:stroke joinstyle="miter"/>
            </v:line>
          </w:pict>
        </mc:Fallback>
      </mc:AlternateContent>
    </w:r>
    <w:r>
      <w:rPr>
        <w:noProof/>
      </w:rPr>
      <w:drawing>
        <wp:anchor distT="0" distB="0" distL="114300" distR="114300" simplePos="0" relativeHeight="251663360" behindDoc="0" locked="0" layoutInCell="1" allowOverlap="1" wp14:anchorId="6BA24AD6" wp14:editId="718C3D4F">
          <wp:simplePos x="0" y="0"/>
          <wp:positionH relativeFrom="column">
            <wp:posOffset>5530593</wp:posOffset>
          </wp:positionH>
          <wp:positionV relativeFrom="paragraph">
            <wp:posOffset>445135</wp:posOffset>
          </wp:positionV>
          <wp:extent cx="571158" cy="565083"/>
          <wp:effectExtent l="0" t="0" r="635" b="0"/>
          <wp:wrapNone/>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IstatOrizzontaleDenominazione.png"/>
                  <pic:cNvPicPr/>
                </pic:nvPicPr>
                <pic:blipFill>
                  <a:blip r:embed="rId1"/>
                  <a:stretch>
                    <a:fillRect/>
                  </a:stretch>
                </pic:blipFill>
                <pic:spPr>
                  <a:xfrm>
                    <a:off x="0" y="0"/>
                    <a:ext cx="571158" cy="56508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8895AEB" wp14:editId="72C49BDF">
          <wp:simplePos x="0" y="0"/>
          <wp:positionH relativeFrom="column">
            <wp:posOffset>879</wp:posOffset>
          </wp:positionH>
          <wp:positionV relativeFrom="paragraph">
            <wp:posOffset>474785</wp:posOffset>
          </wp:positionV>
          <wp:extent cx="1031401" cy="536330"/>
          <wp:effectExtent l="0" t="0" r="0" b="0"/>
          <wp:wrapNone/>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IstatOrizzontaleDenominazione.png"/>
                  <pic:cNvPicPr/>
                </pic:nvPicPr>
                <pic:blipFill>
                  <a:blip r:embed="rId2"/>
                  <a:stretch>
                    <a:fillRect/>
                  </a:stretch>
                </pic:blipFill>
                <pic:spPr>
                  <a:xfrm>
                    <a:off x="0" y="0"/>
                    <a:ext cx="1033108" cy="53721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6E59B3A6" wp14:editId="164F92CB">
              <wp:simplePos x="0" y="0"/>
              <wp:positionH relativeFrom="column">
                <wp:posOffset>879</wp:posOffset>
              </wp:positionH>
              <wp:positionV relativeFrom="paragraph">
                <wp:posOffset>-53926</wp:posOffset>
              </wp:positionV>
              <wp:extent cx="1749669" cy="474784"/>
              <wp:effectExtent l="0" t="0" r="5715" b="0"/>
              <wp:wrapNone/>
              <wp:docPr id="2" name="Casella di testo 2"/>
              <wp:cNvGraphicFramePr/>
              <a:graphic xmlns:a="http://schemas.openxmlformats.org/drawingml/2006/main">
                <a:graphicData uri="http://schemas.microsoft.com/office/word/2010/wordprocessingShape">
                  <wps:wsp>
                    <wps:cNvSpPr txBox="1"/>
                    <wps:spPr>
                      <a:xfrm>
                        <a:off x="0" y="0"/>
                        <a:ext cx="1749669" cy="474784"/>
                      </a:xfrm>
                      <a:prstGeom prst="rect">
                        <a:avLst/>
                      </a:prstGeom>
                      <a:solidFill>
                        <a:schemeClr val="lt1"/>
                      </a:solidFill>
                      <a:ln w="6350">
                        <a:noFill/>
                      </a:ln>
                    </wps:spPr>
                    <wps:txbx>
                      <w:txbxContent>
                        <w:p w14:paraId="48AC9E33" w14:textId="7E3A7C9F" w:rsidR="00C3104C" w:rsidRDefault="00C3104C" w:rsidP="001C44B8"/>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59B3A6" id="_x0000_t202" coordsize="21600,21600" o:spt="202" path="m,l,21600r21600,l21600,xe">
              <v:stroke joinstyle="miter"/>
              <v:path gradientshapeok="t" o:connecttype="rect"/>
            </v:shapetype>
            <v:shape id="Casella di testo 2" o:spid="_x0000_s1026" type="#_x0000_t202" style="position:absolute;left:0;text-align:left;margin-left:.05pt;margin-top:-4.25pt;width:137.75pt;height:37.4pt;z-index:251659264;visibility:visible;mso-wrap-style:non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" fillcolor="white [3201]" stroked="f" strokeweight=".5pt">
              <v:textbox inset="0,0,0,0">
                <w:txbxContent>
                  <w:p w14:paraId="48AC9E33" w14:textId="7E3A7C9F" w:rsidR="00C3104C" w:rsidRDefault="00C3104C" w:rsidP="001C44B8"/>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F165E" w14:textId="19F9FDB2" w:rsidR="00C3104C" w:rsidRDefault="00C3104C" w:rsidP="001C44B8">
    <w:pPr>
      <w:pStyle w:val="Intestazione"/>
    </w:pPr>
    <w:r w:rsidRPr="001C44B8">
      <w:rPr>
        <w:noProof/>
      </w:rPr>
      <w:drawing>
        <wp:anchor distT="0" distB="0" distL="114300" distR="114300" simplePos="0" relativeHeight="251667456" behindDoc="0" locked="0" layoutInCell="1" allowOverlap="1" wp14:anchorId="325C059F" wp14:editId="51A27FB0">
          <wp:simplePos x="0" y="0"/>
          <wp:positionH relativeFrom="column">
            <wp:posOffset>5249008</wp:posOffset>
          </wp:positionH>
          <wp:positionV relativeFrom="paragraph">
            <wp:posOffset>377825</wp:posOffset>
          </wp:positionV>
          <wp:extent cx="869315" cy="859790"/>
          <wp:effectExtent l="0" t="0" r="0" b="381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IstatOrizzontaleDenominazione.png"/>
                  <pic:cNvPicPr/>
                </pic:nvPicPr>
                <pic:blipFill>
                  <a:blip r:embed="rId1"/>
                  <a:stretch>
                    <a:fillRect/>
                  </a:stretch>
                </pic:blipFill>
                <pic:spPr>
                  <a:xfrm>
                    <a:off x="0" y="0"/>
                    <a:ext cx="869315" cy="859790"/>
                  </a:xfrm>
                  <a:prstGeom prst="rect">
                    <a:avLst/>
                  </a:prstGeom>
                </pic:spPr>
              </pic:pic>
            </a:graphicData>
          </a:graphic>
          <wp14:sizeRelH relativeFrom="margin">
            <wp14:pctWidth>0</wp14:pctWidth>
          </wp14:sizeRelH>
          <wp14:sizeRelV relativeFrom="margin">
            <wp14:pctHeight>0</wp14:pctHeight>
          </wp14:sizeRelV>
        </wp:anchor>
      </w:drawing>
    </w:r>
    <w:r w:rsidRPr="001C44B8">
      <w:rPr>
        <w:noProof/>
      </w:rPr>
      <w:drawing>
        <wp:anchor distT="0" distB="0" distL="114300" distR="114300" simplePos="0" relativeHeight="251666432" behindDoc="0" locked="0" layoutInCell="1" allowOverlap="1" wp14:anchorId="452F3E81" wp14:editId="39D18B41">
          <wp:simplePos x="0" y="0"/>
          <wp:positionH relativeFrom="column">
            <wp:posOffset>-2149</wp:posOffset>
          </wp:positionH>
          <wp:positionV relativeFrom="paragraph">
            <wp:posOffset>403860</wp:posOffset>
          </wp:positionV>
          <wp:extent cx="1570361" cy="816590"/>
          <wp:effectExtent l="0" t="0" r="4445" b="0"/>
          <wp:wrapNone/>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IstatOrizzontaleDenominazione.png"/>
                  <pic:cNvPicPr/>
                </pic:nvPicPr>
                <pic:blipFill>
                  <a:blip r:embed="rId2"/>
                  <a:stretch>
                    <a:fillRect/>
                  </a:stretch>
                </pic:blipFill>
                <pic:spPr>
                  <a:xfrm>
                    <a:off x="0" y="0"/>
                    <a:ext cx="1570361" cy="816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93A8C"/>
    <w:multiLevelType w:val="hybridMultilevel"/>
    <w:tmpl w:val="013838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6A844A2"/>
    <w:multiLevelType w:val="hybridMultilevel"/>
    <w:tmpl w:val="7C6CD9E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Arial"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Arial"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Arial"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28D53CE5"/>
    <w:multiLevelType w:val="hybridMultilevel"/>
    <w:tmpl w:val="AA8AFA10"/>
    <w:lvl w:ilvl="0" w:tplc="937EAC52">
      <w:start w:val="1"/>
      <w:numFmt w:val="bullet"/>
      <w:lvlText w:val=""/>
      <w:lvlJc w:val="left"/>
      <w:pPr>
        <w:tabs>
          <w:tab w:val="num" w:pos="360"/>
        </w:tabs>
        <w:ind w:left="360" w:hanging="360"/>
      </w:pPr>
      <w:rPr>
        <w:rFonts w:ascii="Webdings" w:hAnsi="Webdings" w:hint="default"/>
        <w:b w:val="0"/>
        <w:i w:val="0"/>
        <w:color w:val="00527F"/>
        <w:sz w:val="24"/>
        <w:szCs w:val="18"/>
      </w:rPr>
    </w:lvl>
    <w:lvl w:ilvl="1" w:tplc="04100003">
      <w:start w:val="1"/>
      <w:numFmt w:val="bullet"/>
      <w:lvlText w:val="o"/>
      <w:lvlJc w:val="left"/>
      <w:pPr>
        <w:tabs>
          <w:tab w:val="num" w:pos="1440"/>
        </w:tabs>
        <w:ind w:left="1440" w:hanging="360"/>
      </w:pPr>
      <w:rPr>
        <w:rFonts w:ascii="Courier New" w:hAnsi="Courier New" w:cs="Arial"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2C026F6"/>
    <w:multiLevelType w:val="multilevel"/>
    <w:tmpl w:val="AB52008E"/>
    <w:lvl w:ilvl="0">
      <w:start w:val="1"/>
      <w:numFmt w:val="bullet"/>
      <w:lvlText w:val=""/>
      <w:lvlJc w:val="left"/>
      <w:pPr>
        <w:tabs>
          <w:tab w:val="num" w:pos="360"/>
        </w:tabs>
        <w:ind w:left="360" w:hanging="360"/>
      </w:pPr>
      <w:rPr>
        <w:rFonts w:ascii="Webdings" w:hAnsi="Webdings" w:hint="default"/>
        <w:b w:val="0"/>
        <w:i w:val="0"/>
        <w:color w:val="1F3864" w:themeColor="accent5" w:themeShade="80"/>
        <w:sz w:val="24"/>
        <w:szCs w:val="18"/>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71770E2"/>
    <w:multiLevelType w:val="hybridMultilevel"/>
    <w:tmpl w:val="B1A0C0E0"/>
    <w:lvl w:ilvl="0" w:tplc="04100005">
      <w:start w:val="1"/>
      <w:numFmt w:val="bullet"/>
      <w:lvlText w:val=""/>
      <w:lvlJc w:val="left"/>
      <w:pPr>
        <w:tabs>
          <w:tab w:val="num" w:pos="360"/>
        </w:tabs>
        <w:ind w:left="360" w:hanging="360"/>
      </w:pPr>
      <w:rPr>
        <w:rFonts w:ascii="Wingdings" w:hAnsi="Wingdings" w:hint="default"/>
        <w:color w:val="auto"/>
        <w:sz w:val="28"/>
        <w:szCs w:val="18"/>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C645AF0"/>
    <w:multiLevelType w:val="hybridMultilevel"/>
    <w:tmpl w:val="C46CFE78"/>
    <w:lvl w:ilvl="0" w:tplc="0410000B">
      <w:start w:val="1"/>
      <w:numFmt w:val="bullet"/>
      <w:lvlText w:val=""/>
      <w:lvlJc w:val="left"/>
      <w:pPr>
        <w:ind w:left="644"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FD725D6"/>
    <w:multiLevelType w:val="hybridMultilevel"/>
    <w:tmpl w:val="2D8A4CB2"/>
    <w:lvl w:ilvl="0" w:tplc="B4105DAC">
      <w:start w:val="1"/>
      <w:numFmt w:val="bullet"/>
      <w:lvlText w:val=""/>
      <w:lvlJc w:val="left"/>
      <w:pPr>
        <w:tabs>
          <w:tab w:val="num" w:pos="360"/>
        </w:tabs>
        <w:ind w:left="360" w:hanging="360"/>
      </w:pPr>
      <w:rPr>
        <w:rFonts w:ascii="Webdings" w:hAnsi="Webdings" w:hint="default"/>
        <w:b w:val="0"/>
        <w:i w:val="0"/>
        <w:color w:val="1F3864" w:themeColor="accent5" w:themeShade="80"/>
        <w:sz w:val="24"/>
        <w:szCs w:val="18"/>
      </w:rPr>
    </w:lvl>
    <w:lvl w:ilvl="1" w:tplc="04100003">
      <w:start w:val="1"/>
      <w:numFmt w:val="bullet"/>
      <w:lvlText w:val="o"/>
      <w:lvlJc w:val="left"/>
      <w:pPr>
        <w:tabs>
          <w:tab w:val="num" w:pos="1440"/>
        </w:tabs>
        <w:ind w:left="1440" w:hanging="360"/>
      </w:pPr>
      <w:rPr>
        <w:rFonts w:ascii="Courier New" w:hAnsi="Courier New" w:cs="Arial"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1590B36"/>
    <w:multiLevelType w:val="hybridMultilevel"/>
    <w:tmpl w:val="11E27940"/>
    <w:lvl w:ilvl="0" w:tplc="B7386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05615A6"/>
    <w:multiLevelType w:val="hybridMultilevel"/>
    <w:tmpl w:val="99641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AA20826"/>
    <w:multiLevelType w:val="hybridMultilevel"/>
    <w:tmpl w:val="F460B13C"/>
    <w:lvl w:ilvl="0" w:tplc="770229C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56733B2"/>
    <w:multiLevelType w:val="hybridMultilevel"/>
    <w:tmpl w:val="6F103A66"/>
    <w:lvl w:ilvl="0" w:tplc="CF9401A4">
      <w:start w:val="1"/>
      <w:numFmt w:val="bullet"/>
      <w:pStyle w:val="elencopuntato"/>
      <w:lvlText w:val=""/>
      <w:lvlJc w:val="left"/>
      <w:pPr>
        <w:tabs>
          <w:tab w:val="num" w:pos="360"/>
        </w:tabs>
        <w:ind w:left="360" w:hanging="360"/>
      </w:pPr>
      <w:rPr>
        <w:rFonts w:ascii="Webdings" w:hAnsi="Webdings" w:hint="default"/>
        <w:b w:val="0"/>
        <w:i w:val="0"/>
        <w:color w:val="1F3864" w:themeColor="accent5" w:themeShade="80"/>
        <w:sz w:val="22"/>
        <w:szCs w:val="18"/>
      </w:rPr>
    </w:lvl>
    <w:lvl w:ilvl="1" w:tplc="04100003">
      <w:start w:val="1"/>
      <w:numFmt w:val="bullet"/>
      <w:lvlText w:val="o"/>
      <w:lvlJc w:val="left"/>
      <w:pPr>
        <w:tabs>
          <w:tab w:val="num" w:pos="1440"/>
        </w:tabs>
        <w:ind w:left="1440" w:hanging="360"/>
      </w:pPr>
      <w:rPr>
        <w:rFonts w:ascii="Courier New" w:hAnsi="Courier New" w:cs="Arial"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7"/>
  </w:num>
  <w:num w:numId="4">
    <w:abstractNumId w:val="1"/>
  </w:num>
  <w:num w:numId="5">
    <w:abstractNumId w:val="4"/>
  </w:num>
  <w:num w:numId="6">
    <w:abstractNumId w:val="2"/>
  </w:num>
  <w:num w:numId="7">
    <w:abstractNumId w:val="8"/>
  </w:num>
  <w:num w:numId="8">
    <w:abstractNumId w:val="6"/>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B5"/>
    <w:rsid w:val="0000045E"/>
    <w:rsid w:val="000008A7"/>
    <w:rsid w:val="00002947"/>
    <w:rsid w:val="0000560B"/>
    <w:rsid w:val="00005CB1"/>
    <w:rsid w:val="00007A45"/>
    <w:rsid w:val="000131B0"/>
    <w:rsid w:val="000132A0"/>
    <w:rsid w:val="0001480A"/>
    <w:rsid w:val="000154DF"/>
    <w:rsid w:val="00016FB2"/>
    <w:rsid w:val="000177E4"/>
    <w:rsid w:val="00022A2D"/>
    <w:rsid w:val="000232C9"/>
    <w:rsid w:val="00026420"/>
    <w:rsid w:val="00027148"/>
    <w:rsid w:val="0003115D"/>
    <w:rsid w:val="0003158E"/>
    <w:rsid w:val="00032793"/>
    <w:rsid w:val="00041928"/>
    <w:rsid w:val="000445E8"/>
    <w:rsid w:val="00045FB8"/>
    <w:rsid w:val="00047A08"/>
    <w:rsid w:val="00054F54"/>
    <w:rsid w:val="00055B85"/>
    <w:rsid w:val="00062118"/>
    <w:rsid w:val="00062579"/>
    <w:rsid w:val="00064E31"/>
    <w:rsid w:val="00066715"/>
    <w:rsid w:val="00070354"/>
    <w:rsid w:val="000733EE"/>
    <w:rsid w:val="00073DE3"/>
    <w:rsid w:val="00075A3B"/>
    <w:rsid w:val="00080969"/>
    <w:rsid w:val="000813B3"/>
    <w:rsid w:val="00083023"/>
    <w:rsid w:val="000870E2"/>
    <w:rsid w:val="00091460"/>
    <w:rsid w:val="00095F5B"/>
    <w:rsid w:val="000A3ED7"/>
    <w:rsid w:val="000A54A4"/>
    <w:rsid w:val="000A5E56"/>
    <w:rsid w:val="000A79E5"/>
    <w:rsid w:val="000B18A6"/>
    <w:rsid w:val="000B55A7"/>
    <w:rsid w:val="000B62D3"/>
    <w:rsid w:val="000B6665"/>
    <w:rsid w:val="000B7CD7"/>
    <w:rsid w:val="000C10FB"/>
    <w:rsid w:val="000C3A3F"/>
    <w:rsid w:val="000C4CAA"/>
    <w:rsid w:val="000C5192"/>
    <w:rsid w:val="000C723A"/>
    <w:rsid w:val="000D18DD"/>
    <w:rsid w:val="000D2A9A"/>
    <w:rsid w:val="000D3A88"/>
    <w:rsid w:val="000E083B"/>
    <w:rsid w:val="000E1D36"/>
    <w:rsid w:val="000E352C"/>
    <w:rsid w:val="000E435D"/>
    <w:rsid w:val="000E4A66"/>
    <w:rsid w:val="000F0129"/>
    <w:rsid w:val="000F316F"/>
    <w:rsid w:val="000F3C54"/>
    <w:rsid w:val="000F6452"/>
    <w:rsid w:val="000F7D2B"/>
    <w:rsid w:val="00101620"/>
    <w:rsid w:val="0010242F"/>
    <w:rsid w:val="00103574"/>
    <w:rsid w:val="0010386F"/>
    <w:rsid w:val="00103BD7"/>
    <w:rsid w:val="001057E5"/>
    <w:rsid w:val="0010654D"/>
    <w:rsid w:val="00107B68"/>
    <w:rsid w:val="00107CEC"/>
    <w:rsid w:val="001135DB"/>
    <w:rsid w:val="00114073"/>
    <w:rsid w:val="001145EA"/>
    <w:rsid w:val="00122739"/>
    <w:rsid w:val="00123B74"/>
    <w:rsid w:val="00125944"/>
    <w:rsid w:val="00126D41"/>
    <w:rsid w:val="00127A89"/>
    <w:rsid w:val="00130ED4"/>
    <w:rsid w:val="00134AF2"/>
    <w:rsid w:val="00134DD7"/>
    <w:rsid w:val="00136674"/>
    <w:rsid w:val="00142B0A"/>
    <w:rsid w:val="00142C69"/>
    <w:rsid w:val="0014348A"/>
    <w:rsid w:val="00144316"/>
    <w:rsid w:val="0014534F"/>
    <w:rsid w:val="00146A4A"/>
    <w:rsid w:val="00150882"/>
    <w:rsid w:val="00150CF7"/>
    <w:rsid w:val="0015105E"/>
    <w:rsid w:val="0015114C"/>
    <w:rsid w:val="00153112"/>
    <w:rsid w:val="00156D6A"/>
    <w:rsid w:val="00157056"/>
    <w:rsid w:val="00160BDA"/>
    <w:rsid w:val="00161F34"/>
    <w:rsid w:val="0016204E"/>
    <w:rsid w:val="00162330"/>
    <w:rsid w:val="00167B12"/>
    <w:rsid w:val="001735B5"/>
    <w:rsid w:val="00173A13"/>
    <w:rsid w:val="00174EE0"/>
    <w:rsid w:val="00174EFC"/>
    <w:rsid w:val="00176E62"/>
    <w:rsid w:val="0018360D"/>
    <w:rsid w:val="00184526"/>
    <w:rsid w:val="001864C3"/>
    <w:rsid w:val="00187EC1"/>
    <w:rsid w:val="001909CB"/>
    <w:rsid w:val="00192F60"/>
    <w:rsid w:val="00194E81"/>
    <w:rsid w:val="001954B6"/>
    <w:rsid w:val="001966B4"/>
    <w:rsid w:val="00196B3C"/>
    <w:rsid w:val="001A1E6A"/>
    <w:rsid w:val="001A3D4E"/>
    <w:rsid w:val="001A5E6E"/>
    <w:rsid w:val="001A72B8"/>
    <w:rsid w:val="001B0A82"/>
    <w:rsid w:val="001B12FE"/>
    <w:rsid w:val="001B2338"/>
    <w:rsid w:val="001B2529"/>
    <w:rsid w:val="001B3A3D"/>
    <w:rsid w:val="001B6129"/>
    <w:rsid w:val="001C051A"/>
    <w:rsid w:val="001C09AE"/>
    <w:rsid w:val="001C1B3A"/>
    <w:rsid w:val="001C1F03"/>
    <w:rsid w:val="001C2785"/>
    <w:rsid w:val="001C2FEF"/>
    <w:rsid w:val="001C4330"/>
    <w:rsid w:val="001C44B8"/>
    <w:rsid w:val="001C4532"/>
    <w:rsid w:val="001C4730"/>
    <w:rsid w:val="001C524C"/>
    <w:rsid w:val="001C661C"/>
    <w:rsid w:val="001C66B0"/>
    <w:rsid w:val="001D0C6B"/>
    <w:rsid w:val="001D22C0"/>
    <w:rsid w:val="001D42E5"/>
    <w:rsid w:val="001D6B42"/>
    <w:rsid w:val="001D7822"/>
    <w:rsid w:val="001D7EA3"/>
    <w:rsid w:val="001E0571"/>
    <w:rsid w:val="001E233D"/>
    <w:rsid w:val="001E33E1"/>
    <w:rsid w:val="001E51A0"/>
    <w:rsid w:val="001E5209"/>
    <w:rsid w:val="001F299A"/>
    <w:rsid w:val="001F2F92"/>
    <w:rsid w:val="001F49F0"/>
    <w:rsid w:val="001F7A5B"/>
    <w:rsid w:val="001F7D33"/>
    <w:rsid w:val="00200998"/>
    <w:rsid w:val="00201575"/>
    <w:rsid w:val="0020261C"/>
    <w:rsid w:val="00205C1F"/>
    <w:rsid w:val="00210747"/>
    <w:rsid w:val="00210D2E"/>
    <w:rsid w:val="00211917"/>
    <w:rsid w:val="002122E4"/>
    <w:rsid w:val="0021302F"/>
    <w:rsid w:val="00214AD3"/>
    <w:rsid w:val="00217CF8"/>
    <w:rsid w:val="0022329A"/>
    <w:rsid w:val="002249AC"/>
    <w:rsid w:val="00224EC5"/>
    <w:rsid w:val="00225AD3"/>
    <w:rsid w:val="002277A3"/>
    <w:rsid w:val="00230736"/>
    <w:rsid w:val="00230DF4"/>
    <w:rsid w:val="00232765"/>
    <w:rsid w:val="00233EB1"/>
    <w:rsid w:val="00236FEF"/>
    <w:rsid w:val="00237007"/>
    <w:rsid w:val="00237A9B"/>
    <w:rsid w:val="00237EE4"/>
    <w:rsid w:val="00237FE7"/>
    <w:rsid w:val="00241910"/>
    <w:rsid w:val="00243846"/>
    <w:rsid w:val="00243D3F"/>
    <w:rsid w:val="002445BB"/>
    <w:rsid w:val="00245DB5"/>
    <w:rsid w:val="00247533"/>
    <w:rsid w:val="002476AC"/>
    <w:rsid w:val="00250482"/>
    <w:rsid w:val="002531E1"/>
    <w:rsid w:val="00253F4A"/>
    <w:rsid w:val="0025591F"/>
    <w:rsid w:val="002562BF"/>
    <w:rsid w:val="00261547"/>
    <w:rsid w:val="0026209A"/>
    <w:rsid w:val="0026372E"/>
    <w:rsid w:val="00264103"/>
    <w:rsid w:val="00265DC8"/>
    <w:rsid w:val="00271235"/>
    <w:rsid w:val="00273630"/>
    <w:rsid w:val="00276EDA"/>
    <w:rsid w:val="00282877"/>
    <w:rsid w:val="002840BD"/>
    <w:rsid w:val="0028623C"/>
    <w:rsid w:val="0028674F"/>
    <w:rsid w:val="00286EE7"/>
    <w:rsid w:val="00290C9C"/>
    <w:rsid w:val="002927B6"/>
    <w:rsid w:val="002A1BD5"/>
    <w:rsid w:val="002A1CDF"/>
    <w:rsid w:val="002A2DDD"/>
    <w:rsid w:val="002B0D37"/>
    <w:rsid w:val="002B132F"/>
    <w:rsid w:val="002B1AC0"/>
    <w:rsid w:val="002B2360"/>
    <w:rsid w:val="002B38DF"/>
    <w:rsid w:val="002B455D"/>
    <w:rsid w:val="002B5CD7"/>
    <w:rsid w:val="002B697D"/>
    <w:rsid w:val="002B7076"/>
    <w:rsid w:val="002C32DD"/>
    <w:rsid w:val="002C47DB"/>
    <w:rsid w:val="002C50AF"/>
    <w:rsid w:val="002C5458"/>
    <w:rsid w:val="002C6589"/>
    <w:rsid w:val="002C7F39"/>
    <w:rsid w:val="002D7FD2"/>
    <w:rsid w:val="002E40A6"/>
    <w:rsid w:val="002E450D"/>
    <w:rsid w:val="002E549D"/>
    <w:rsid w:val="002E6098"/>
    <w:rsid w:val="002F2D27"/>
    <w:rsid w:val="002F2F85"/>
    <w:rsid w:val="002F6173"/>
    <w:rsid w:val="002F7D28"/>
    <w:rsid w:val="003003AB"/>
    <w:rsid w:val="00301DA0"/>
    <w:rsid w:val="00302793"/>
    <w:rsid w:val="0031002A"/>
    <w:rsid w:val="0031302E"/>
    <w:rsid w:val="0031608F"/>
    <w:rsid w:val="0032101E"/>
    <w:rsid w:val="0032254F"/>
    <w:rsid w:val="00322F18"/>
    <w:rsid w:val="00327227"/>
    <w:rsid w:val="0033218B"/>
    <w:rsid w:val="00334BD1"/>
    <w:rsid w:val="00342070"/>
    <w:rsid w:val="003430C8"/>
    <w:rsid w:val="0034331B"/>
    <w:rsid w:val="00344AC5"/>
    <w:rsid w:val="00346B83"/>
    <w:rsid w:val="00353F11"/>
    <w:rsid w:val="00354225"/>
    <w:rsid w:val="003563D1"/>
    <w:rsid w:val="00360005"/>
    <w:rsid w:val="003601D7"/>
    <w:rsid w:val="00361097"/>
    <w:rsid w:val="00363ACB"/>
    <w:rsid w:val="003653FD"/>
    <w:rsid w:val="003659FC"/>
    <w:rsid w:val="00367094"/>
    <w:rsid w:val="00367695"/>
    <w:rsid w:val="00370A83"/>
    <w:rsid w:val="00372F01"/>
    <w:rsid w:val="003806E7"/>
    <w:rsid w:val="00381CB8"/>
    <w:rsid w:val="00382EA2"/>
    <w:rsid w:val="00383269"/>
    <w:rsid w:val="00383AE1"/>
    <w:rsid w:val="00387442"/>
    <w:rsid w:val="00392BAE"/>
    <w:rsid w:val="00396028"/>
    <w:rsid w:val="003971FD"/>
    <w:rsid w:val="00397960"/>
    <w:rsid w:val="003A3DAF"/>
    <w:rsid w:val="003A4499"/>
    <w:rsid w:val="003A5116"/>
    <w:rsid w:val="003A6B98"/>
    <w:rsid w:val="003B0039"/>
    <w:rsid w:val="003B1348"/>
    <w:rsid w:val="003B3FF7"/>
    <w:rsid w:val="003B4005"/>
    <w:rsid w:val="003B6D91"/>
    <w:rsid w:val="003C1302"/>
    <w:rsid w:val="003C192F"/>
    <w:rsid w:val="003C5F3C"/>
    <w:rsid w:val="003D2202"/>
    <w:rsid w:val="003D7675"/>
    <w:rsid w:val="003E3200"/>
    <w:rsid w:val="003E5051"/>
    <w:rsid w:val="003E70F2"/>
    <w:rsid w:val="003E7F15"/>
    <w:rsid w:val="003F1E17"/>
    <w:rsid w:val="003F3D21"/>
    <w:rsid w:val="003F41DA"/>
    <w:rsid w:val="003F64F8"/>
    <w:rsid w:val="003F7031"/>
    <w:rsid w:val="003F76CC"/>
    <w:rsid w:val="0040027C"/>
    <w:rsid w:val="00401EA1"/>
    <w:rsid w:val="0040485D"/>
    <w:rsid w:val="0040720C"/>
    <w:rsid w:val="0041081C"/>
    <w:rsid w:val="00411559"/>
    <w:rsid w:val="00417402"/>
    <w:rsid w:val="00420A8F"/>
    <w:rsid w:val="00421FDC"/>
    <w:rsid w:val="00422933"/>
    <w:rsid w:val="00423B8B"/>
    <w:rsid w:val="0042530F"/>
    <w:rsid w:val="00425BB5"/>
    <w:rsid w:val="00427728"/>
    <w:rsid w:val="0043184C"/>
    <w:rsid w:val="00435022"/>
    <w:rsid w:val="00437743"/>
    <w:rsid w:val="00440C95"/>
    <w:rsid w:val="00443119"/>
    <w:rsid w:val="00444131"/>
    <w:rsid w:val="0044675C"/>
    <w:rsid w:val="00447FF0"/>
    <w:rsid w:val="004508FF"/>
    <w:rsid w:val="00451255"/>
    <w:rsid w:val="0045270B"/>
    <w:rsid w:val="0045559B"/>
    <w:rsid w:val="004567BE"/>
    <w:rsid w:val="00456D17"/>
    <w:rsid w:val="00456D40"/>
    <w:rsid w:val="0046288B"/>
    <w:rsid w:val="004630D9"/>
    <w:rsid w:val="00463233"/>
    <w:rsid w:val="00464C03"/>
    <w:rsid w:val="0047122F"/>
    <w:rsid w:val="004715C5"/>
    <w:rsid w:val="00473D14"/>
    <w:rsid w:val="00473DA5"/>
    <w:rsid w:val="00475304"/>
    <w:rsid w:val="00476F8F"/>
    <w:rsid w:val="00481266"/>
    <w:rsid w:val="004827EB"/>
    <w:rsid w:val="00483168"/>
    <w:rsid w:val="00483612"/>
    <w:rsid w:val="00485ECE"/>
    <w:rsid w:val="00485FD1"/>
    <w:rsid w:val="00486709"/>
    <w:rsid w:val="00487C46"/>
    <w:rsid w:val="00487F25"/>
    <w:rsid w:val="00492C16"/>
    <w:rsid w:val="0049395D"/>
    <w:rsid w:val="00494295"/>
    <w:rsid w:val="00494BF1"/>
    <w:rsid w:val="004A0F85"/>
    <w:rsid w:val="004A172E"/>
    <w:rsid w:val="004A1D77"/>
    <w:rsid w:val="004A1F78"/>
    <w:rsid w:val="004A3DC6"/>
    <w:rsid w:val="004A3FC1"/>
    <w:rsid w:val="004A44D2"/>
    <w:rsid w:val="004A66AE"/>
    <w:rsid w:val="004B1F71"/>
    <w:rsid w:val="004B61D7"/>
    <w:rsid w:val="004B63BB"/>
    <w:rsid w:val="004B7252"/>
    <w:rsid w:val="004B7587"/>
    <w:rsid w:val="004B7DBB"/>
    <w:rsid w:val="004B7F49"/>
    <w:rsid w:val="004C0516"/>
    <w:rsid w:val="004C2084"/>
    <w:rsid w:val="004C5B13"/>
    <w:rsid w:val="004C6DD6"/>
    <w:rsid w:val="004D231B"/>
    <w:rsid w:val="004D2F33"/>
    <w:rsid w:val="004D30A6"/>
    <w:rsid w:val="004D4594"/>
    <w:rsid w:val="004D6C6E"/>
    <w:rsid w:val="004E1D21"/>
    <w:rsid w:val="004E2ABC"/>
    <w:rsid w:val="004E405C"/>
    <w:rsid w:val="004E73F8"/>
    <w:rsid w:val="004F368B"/>
    <w:rsid w:val="004F3DAE"/>
    <w:rsid w:val="00501A10"/>
    <w:rsid w:val="005039A9"/>
    <w:rsid w:val="00505740"/>
    <w:rsid w:val="00506DD7"/>
    <w:rsid w:val="0051043E"/>
    <w:rsid w:val="0051681A"/>
    <w:rsid w:val="00517A7D"/>
    <w:rsid w:val="005203E7"/>
    <w:rsid w:val="00520436"/>
    <w:rsid w:val="00520EB6"/>
    <w:rsid w:val="005238CE"/>
    <w:rsid w:val="00524A0C"/>
    <w:rsid w:val="00524BA6"/>
    <w:rsid w:val="00530A18"/>
    <w:rsid w:val="0053276B"/>
    <w:rsid w:val="0053342A"/>
    <w:rsid w:val="0054465F"/>
    <w:rsid w:val="005465FD"/>
    <w:rsid w:val="005513E3"/>
    <w:rsid w:val="00555766"/>
    <w:rsid w:val="0055689F"/>
    <w:rsid w:val="00562FD4"/>
    <w:rsid w:val="005630FB"/>
    <w:rsid w:val="005634EC"/>
    <w:rsid w:val="00564565"/>
    <w:rsid w:val="0056683F"/>
    <w:rsid w:val="00567DB0"/>
    <w:rsid w:val="0057103E"/>
    <w:rsid w:val="005712F9"/>
    <w:rsid w:val="00571733"/>
    <w:rsid w:val="005725F2"/>
    <w:rsid w:val="005737AB"/>
    <w:rsid w:val="00574342"/>
    <w:rsid w:val="00580D8D"/>
    <w:rsid w:val="00581BDA"/>
    <w:rsid w:val="005843BD"/>
    <w:rsid w:val="00584669"/>
    <w:rsid w:val="00591112"/>
    <w:rsid w:val="00595334"/>
    <w:rsid w:val="005969FF"/>
    <w:rsid w:val="005A0D25"/>
    <w:rsid w:val="005A1A39"/>
    <w:rsid w:val="005A4AEA"/>
    <w:rsid w:val="005A6C82"/>
    <w:rsid w:val="005B1441"/>
    <w:rsid w:val="005B3704"/>
    <w:rsid w:val="005B4B51"/>
    <w:rsid w:val="005B7F82"/>
    <w:rsid w:val="005C40FC"/>
    <w:rsid w:val="005C4D77"/>
    <w:rsid w:val="005C572C"/>
    <w:rsid w:val="005C67C3"/>
    <w:rsid w:val="005C6994"/>
    <w:rsid w:val="005C74D9"/>
    <w:rsid w:val="005C755A"/>
    <w:rsid w:val="005C7A3B"/>
    <w:rsid w:val="005D0889"/>
    <w:rsid w:val="005D4009"/>
    <w:rsid w:val="005D5DCE"/>
    <w:rsid w:val="005E25A8"/>
    <w:rsid w:val="005E7D71"/>
    <w:rsid w:val="005F38D6"/>
    <w:rsid w:val="005F39A8"/>
    <w:rsid w:val="005F520B"/>
    <w:rsid w:val="005F5C84"/>
    <w:rsid w:val="0060060E"/>
    <w:rsid w:val="00601343"/>
    <w:rsid w:val="00601BFF"/>
    <w:rsid w:val="00603463"/>
    <w:rsid w:val="00607515"/>
    <w:rsid w:val="006112D9"/>
    <w:rsid w:val="00614435"/>
    <w:rsid w:val="00614901"/>
    <w:rsid w:val="00614A21"/>
    <w:rsid w:val="0061603C"/>
    <w:rsid w:val="00617D45"/>
    <w:rsid w:val="00622E78"/>
    <w:rsid w:val="006234AD"/>
    <w:rsid w:val="00624602"/>
    <w:rsid w:val="0062531A"/>
    <w:rsid w:val="00626016"/>
    <w:rsid w:val="0062732F"/>
    <w:rsid w:val="006302A9"/>
    <w:rsid w:val="00631F5E"/>
    <w:rsid w:val="00636FBD"/>
    <w:rsid w:val="006372C5"/>
    <w:rsid w:val="00640086"/>
    <w:rsid w:val="0064533C"/>
    <w:rsid w:val="006504C3"/>
    <w:rsid w:val="00651B6B"/>
    <w:rsid w:val="006529DE"/>
    <w:rsid w:val="00653474"/>
    <w:rsid w:val="00653EAF"/>
    <w:rsid w:val="0065435B"/>
    <w:rsid w:val="00656039"/>
    <w:rsid w:val="006600CB"/>
    <w:rsid w:val="0066263D"/>
    <w:rsid w:val="0066370C"/>
    <w:rsid w:val="006673B2"/>
    <w:rsid w:val="006750E1"/>
    <w:rsid w:val="00687844"/>
    <w:rsid w:val="00691A44"/>
    <w:rsid w:val="00692849"/>
    <w:rsid w:val="006938EA"/>
    <w:rsid w:val="00693C3B"/>
    <w:rsid w:val="0069436A"/>
    <w:rsid w:val="00694DB9"/>
    <w:rsid w:val="00697CA3"/>
    <w:rsid w:val="006A0757"/>
    <w:rsid w:val="006A1439"/>
    <w:rsid w:val="006A1492"/>
    <w:rsid w:val="006A27A5"/>
    <w:rsid w:val="006A7F5E"/>
    <w:rsid w:val="006B0AD2"/>
    <w:rsid w:val="006B2607"/>
    <w:rsid w:val="006B3B8A"/>
    <w:rsid w:val="006B6FA0"/>
    <w:rsid w:val="006C320E"/>
    <w:rsid w:val="006C3FBA"/>
    <w:rsid w:val="006C5E60"/>
    <w:rsid w:val="006C7341"/>
    <w:rsid w:val="006C7601"/>
    <w:rsid w:val="006C76A3"/>
    <w:rsid w:val="006D335B"/>
    <w:rsid w:val="006D4CC6"/>
    <w:rsid w:val="006E2F76"/>
    <w:rsid w:val="006E5C0D"/>
    <w:rsid w:val="006E66A5"/>
    <w:rsid w:val="006E7577"/>
    <w:rsid w:val="006F5DAF"/>
    <w:rsid w:val="006F6354"/>
    <w:rsid w:val="0070044B"/>
    <w:rsid w:val="007039EB"/>
    <w:rsid w:val="007077EF"/>
    <w:rsid w:val="00710C75"/>
    <w:rsid w:val="00711624"/>
    <w:rsid w:val="00712C0F"/>
    <w:rsid w:val="00714EAD"/>
    <w:rsid w:val="00721505"/>
    <w:rsid w:val="0072508D"/>
    <w:rsid w:val="007257E7"/>
    <w:rsid w:val="00725B4F"/>
    <w:rsid w:val="00726270"/>
    <w:rsid w:val="00726F27"/>
    <w:rsid w:val="00727FC0"/>
    <w:rsid w:val="00740699"/>
    <w:rsid w:val="00740B80"/>
    <w:rsid w:val="0074474E"/>
    <w:rsid w:val="00745C9B"/>
    <w:rsid w:val="0075333B"/>
    <w:rsid w:val="007540FC"/>
    <w:rsid w:val="007544F6"/>
    <w:rsid w:val="00755D45"/>
    <w:rsid w:val="00756B0B"/>
    <w:rsid w:val="00760FB9"/>
    <w:rsid w:val="0076110E"/>
    <w:rsid w:val="00761548"/>
    <w:rsid w:val="0076198D"/>
    <w:rsid w:val="007626D5"/>
    <w:rsid w:val="0076389C"/>
    <w:rsid w:val="00765E11"/>
    <w:rsid w:val="00766522"/>
    <w:rsid w:val="0076702E"/>
    <w:rsid w:val="00767484"/>
    <w:rsid w:val="0076749F"/>
    <w:rsid w:val="00772BD8"/>
    <w:rsid w:val="0077427A"/>
    <w:rsid w:val="007762B3"/>
    <w:rsid w:val="00781C3E"/>
    <w:rsid w:val="00787463"/>
    <w:rsid w:val="00790BD9"/>
    <w:rsid w:val="00791B79"/>
    <w:rsid w:val="007926FB"/>
    <w:rsid w:val="007938CE"/>
    <w:rsid w:val="0079424F"/>
    <w:rsid w:val="007A12CA"/>
    <w:rsid w:val="007A1518"/>
    <w:rsid w:val="007A1DE0"/>
    <w:rsid w:val="007A2DD5"/>
    <w:rsid w:val="007A37CD"/>
    <w:rsid w:val="007A43C9"/>
    <w:rsid w:val="007A5629"/>
    <w:rsid w:val="007A622D"/>
    <w:rsid w:val="007A6720"/>
    <w:rsid w:val="007A709B"/>
    <w:rsid w:val="007A78B1"/>
    <w:rsid w:val="007B0026"/>
    <w:rsid w:val="007B3959"/>
    <w:rsid w:val="007C044F"/>
    <w:rsid w:val="007C0BA8"/>
    <w:rsid w:val="007C5F08"/>
    <w:rsid w:val="007D05AE"/>
    <w:rsid w:val="007D375B"/>
    <w:rsid w:val="007D3C04"/>
    <w:rsid w:val="007E07CD"/>
    <w:rsid w:val="007E0857"/>
    <w:rsid w:val="007E4766"/>
    <w:rsid w:val="007E60F7"/>
    <w:rsid w:val="007E7E42"/>
    <w:rsid w:val="007F2075"/>
    <w:rsid w:val="007F2829"/>
    <w:rsid w:val="007F3B89"/>
    <w:rsid w:val="007F5525"/>
    <w:rsid w:val="007F58EE"/>
    <w:rsid w:val="007F6036"/>
    <w:rsid w:val="007F6A51"/>
    <w:rsid w:val="007F7CE2"/>
    <w:rsid w:val="00810463"/>
    <w:rsid w:val="00813A89"/>
    <w:rsid w:val="008217CF"/>
    <w:rsid w:val="0082296D"/>
    <w:rsid w:val="00824ED7"/>
    <w:rsid w:val="008262CE"/>
    <w:rsid w:val="00826AA5"/>
    <w:rsid w:val="00827744"/>
    <w:rsid w:val="0082775A"/>
    <w:rsid w:val="008312BA"/>
    <w:rsid w:val="00831F90"/>
    <w:rsid w:val="0083541F"/>
    <w:rsid w:val="0083567D"/>
    <w:rsid w:val="0084274E"/>
    <w:rsid w:val="00843641"/>
    <w:rsid w:val="00844488"/>
    <w:rsid w:val="0084536E"/>
    <w:rsid w:val="008475A1"/>
    <w:rsid w:val="008517F4"/>
    <w:rsid w:val="00852B90"/>
    <w:rsid w:val="00853935"/>
    <w:rsid w:val="00856650"/>
    <w:rsid w:val="0085748F"/>
    <w:rsid w:val="008574C4"/>
    <w:rsid w:val="00857DA4"/>
    <w:rsid w:val="0086436F"/>
    <w:rsid w:val="00871B86"/>
    <w:rsid w:val="00872D9A"/>
    <w:rsid w:val="00874811"/>
    <w:rsid w:val="008759E3"/>
    <w:rsid w:val="00881910"/>
    <w:rsid w:val="00882C14"/>
    <w:rsid w:val="00886E56"/>
    <w:rsid w:val="00887F3A"/>
    <w:rsid w:val="00890321"/>
    <w:rsid w:val="00894626"/>
    <w:rsid w:val="008960A7"/>
    <w:rsid w:val="008A5DFF"/>
    <w:rsid w:val="008A5F1C"/>
    <w:rsid w:val="008A7600"/>
    <w:rsid w:val="008B0275"/>
    <w:rsid w:val="008B047F"/>
    <w:rsid w:val="008B324C"/>
    <w:rsid w:val="008B3AD8"/>
    <w:rsid w:val="008B6C4D"/>
    <w:rsid w:val="008B6E80"/>
    <w:rsid w:val="008C326B"/>
    <w:rsid w:val="008C4B5B"/>
    <w:rsid w:val="008C660A"/>
    <w:rsid w:val="008D1265"/>
    <w:rsid w:val="008D1B3C"/>
    <w:rsid w:val="008D3020"/>
    <w:rsid w:val="008D32FD"/>
    <w:rsid w:val="008D337F"/>
    <w:rsid w:val="008D714F"/>
    <w:rsid w:val="008D7E79"/>
    <w:rsid w:val="008E3D3E"/>
    <w:rsid w:val="008E4BE4"/>
    <w:rsid w:val="008E5C15"/>
    <w:rsid w:val="008E6C0B"/>
    <w:rsid w:val="008E7891"/>
    <w:rsid w:val="008E7A83"/>
    <w:rsid w:val="008F069D"/>
    <w:rsid w:val="008F33D6"/>
    <w:rsid w:val="008F3CEC"/>
    <w:rsid w:val="008F47B6"/>
    <w:rsid w:val="008F6C50"/>
    <w:rsid w:val="008F7193"/>
    <w:rsid w:val="00900C5E"/>
    <w:rsid w:val="009012C4"/>
    <w:rsid w:val="009108A5"/>
    <w:rsid w:val="0091281E"/>
    <w:rsid w:val="009134CC"/>
    <w:rsid w:val="00914459"/>
    <w:rsid w:val="00915829"/>
    <w:rsid w:val="009177A5"/>
    <w:rsid w:val="009221E4"/>
    <w:rsid w:val="009241C7"/>
    <w:rsid w:val="00925DE4"/>
    <w:rsid w:val="00930C79"/>
    <w:rsid w:val="009312AF"/>
    <w:rsid w:val="00932215"/>
    <w:rsid w:val="009322CB"/>
    <w:rsid w:val="009330A4"/>
    <w:rsid w:val="00933878"/>
    <w:rsid w:val="009415F9"/>
    <w:rsid w:val="00943480"/>
    <w:rsid w:val="009456A4"/>
    <w:rsid w:val="00945B61"/>
    <w:rsid w:val="00946221"/>
    <w:rsid w:val="00952B0D"/>
    <w:rsid w:val="00952D34"/>
    <w:rsid w:val="00953F96"/>
    <w:rsid w:val="009546F9"/>
    <w:rsid w:val="009561DD"/>
    <w:rsid w:val="009634F8"/>
    <w:rsid w:val="009715D0"/>
    <w:rsid w:val="00972501"/>
    <w:rsid w:val="009727EA"/>
    <w:rsid w:val="009738C8"/>
    <w:rsid w:val="00975A81"/>
    <w:rsid w:val="00976531"/>
    <w:rsid w:val="00976B74"/>
    <w:rsid w:val="00982506"/>
    <w:rsid w:val="00982B93"/>
    <w:rsid w:val="00984583"/>
    <w:rsid w:val="0098462B"/>
    <w:rsid w:val="009878A5"/>
    <w:rsid w:val="00987934"/>
    <w:rsid w:val="00987A20"/>
    <w:rsid w:val="009912DF"/>
    <w:rsid w:val="0099391E"/>
    <w:rsid w:val="00993E3C"/>
    <w:rsid w:val="0099423C"/>
    <w:rsid w:val="00996E48"/>
    <w:rsid w:val="00997B55"/>
    <w:rsid w:val="009A26CD"/>
    <w:rsid w:val="009A73B9"/>
    <w:rsid w:val="009A76DA"/>
    <w:rsid w:val="009B020C"/>
    <w:rsid w:val="009B3710"/>
    <w:rsid w:val="009B4AB1"/>
    <w:rsid w:val="009C240F"/>
    <w:rsid w:val="009C3F26"/>
    <w:rsid w:val="009D0114"/>
    <w:rsid w:val="009D4828"/>
    <w:rsid w:val="009D5CD7"/>
    <w:rsid w:val="009D6D21"/>
    <w:rsid w:val="009E1AC4"/>
    <w:rsid w:val="009E5B41"/>
    <w:rsid w:val="009E754C"/>
    <w:rsid w:val="009F0238"/>
    <w:rsid w:val="009F0CD9"/>
    <w:rsid w:val="009F18A9"/>
    <w:rsid w:val="009F1D22"/>
    <w:rsid w:val="009F1DD3"/>
    <w:rsid w:val="009F50E2"/>
    <w:rsid w:val="00A006E6"/>
    <w:rsid w:val="00A00EF8"/>
    <w:rsid w:val="00A04FFD"/>
    <w:rsid w:val="00A05731"/>
    <w:rsid w:val="00A072C3"/>
    <w:rsid w:val="00A10F0E"/>
    <w:rsid w:val="00A116ED"/>
    <w:rsid w:val="00A11772"/>
    <w:rsid w:val="00A2565F"/>
    <w:rsid w:val="00A26CCE"/>
    <w:rsid w:val="00A30247"/>
    <w:rsid w:val="00A312B9"/>
    <w:rsid w:val="00A31D27"/>
    <w:rsid w:val="00A345F8"/>
    <w:rsid w:val="00A35C87"/>
    <w:rsid w:val="00A44EAC"/>
    <w:rsid w:val="00A45185"/>
    <w:rsid w:val="00A5047E"/>
    <w:rsid w:val="00A50B10"/>
    <w:rsid w:val="00A545F5"/>
    <w:rsid w:val="00A547C2"/>
    <w:rsid w:val="00A55C0E"/>
    <w:rsid w:val="00A55ED0"/>
    <w:rsid w:val="00A568FE"/>
    <w:rsid w:val="00A603BD"/>
    <w:rsid w:val="00A6166B"/>
    <w:rsid w:val="00A61D6B"/>
    <w:rsid w:val="00A62529"/>
    <w:rsid w:val="00A62E8C"/>
    <w:rsid w:val="00A6565D"/>
    <w:rsid w:val="00A67CD9"/>
    <w:rsid w:val="00A703B5"/>
    <w:rsid w:val="00A70977"/>
    <w:rsid w:val="00A70CD3"/>
    <w:rsid w:val="00A733C7"/>
    <w:rsid w:val="00A77C31"/>
    <w:rsid w:val="00A77F5E"/>
    <w:rsid w:val="00A812BD"/>
    <w:rsid w:val="00A86658"/>
    <w:rsid w:val="00A931A7"/>
    <w:rsid w:val="00A9361E"/>
    <w:rsid w:val="00A95808"/>
    <w:rsid w:val="00A95BFD"/>
    <w:rsid w:val="00A969B8"/>
    <w:rsid w:val="00AA0AE9"/>
    <w:rsid w:val="00AA16CE"/>
    <w:rsid w:val="00AA2B29"/>
    <w:rsid w:val="00AA2D61"/>
    <w:rsid w:val="00AA553E"/>
    <w:rsid w:val="00AA7ADD"/>
    <w:rsid w:val="00AB1A9B"/>
    <w:rsid w:val="00AB75CB"/>
    <w:rsid w:val="00AB7C06"/>
    <w:rsid w:val="00AC12DF"/>
    <w:rsid w:val="00AC2BC1"/>
    <w:rsid w:val="00AC43CB"/>
    <w:rsid w:val="00AC4AF0"/>
    <w:rsid w:val="00AC4DFC"/>
    <w:rsid w:val="00AC6A16"/>
    <w:rsid w:val="00AC7FCA"/>
    <w:rsid w:val="00AD0B5C"/>
    <w:rsid w:val="00AD212A"/>
    <w:rsid w:val="00AD2C6E"/>
    <w:rsid w:val="00AD4691"/>
    <w:rsid w:val="00AD5B0B"/>
    <w:rsid w:val="00AD6DFE"/>
    <w:rsid w:val="00AD799F"/>
    <w:rsid w:val="00AE5EA9"/>
    <w:rsid w:val="00AE6983"/>
    <w:rsid w:val="00AF4486"/>
    <w:rsid w:val="00AF6C58"/>
    <w:rsid w:val="00B0039F"/>
    <w:rsid w:val="00B036F8"/>
    <w:rsid w:val="00B0444F"/>
    <w:rsid w:val="00B04BD6"/>
    <w:rsid w:val="00B05630"/>
    <w:rsid w:val="00B06172"/>
    <w:rsid w:val="00B07850"/>
    <w:rsid w:val="00B07C54"/>
    <w:rsid w:val="00B10364"/>
    <w:rsid w:val="00B15ED4"/>
    <w:rsid w:val="00B16BBF"/>
    <w:rsid w:val="00B23F60"/>
    <w:rsid w:val="00B3163F"/>
    <w:rsid w:val="00B346C9"/>
    <w:rsid w:val="00B34BE4"/>
    <w:rsid w:val="00B40ADC"/>
    <w:rsid w:val="00B40FD3"/>
    <w:rsid w:val="00B42FD7"/>
    <w:rsid w:val="00B43210"/>
    <w:rsid w:val="00B43FBF"/>
    <w:rsid w:val="00B47D56"/>
    <w:rsid w:val="00B503B0"/>
    <w:rsid w:val="00B540E4"/>
    <w:rsid w:val="00B54D85"/>
    <w:rsid w:val="00B6566C"/>
    <w:rsid w:val="00B67272"/>
    <w:rsid w:val="00B67CCD"/>
    <w:rsid w:val="00B7384B"/>
    <w:rsid w:val="00B73DDD"/>
    <w:rsid w:val="00B73FA7"/>
    <w:rsid w:val="00B7508D"/>
    <w:rsid w:val="00B801E1"/>
    <w:rsid w:val="00B80C81"/>
    <w:rsid w:val="00B831D3"/>
    <w:rsid w:val="00B90850"/>
    <w:rsid w:val="00B90D25"/>
    <w:rsid w:val="00B91A90"/>
    <w:rsid w:val="00B91AA3"/>
    <w:rsid w:val="00B92A64"/>
    <w:rsid w:val="00B94B4D"/>
    <w:rsid w:val="00B95DC3"/>
    <w:rsid w:val="00BA0275"/>
    <w:rsid w:val="00BA2E19"/>
    <w:rsid w:val="00BA3ED3"/>
    <w:rsid w:val="00BA651F"/>
    <w:rsid w:val="00BB2D1C"/>
    <w:rsid w:val="00BB3C6F"/>
    <w:rsid w:val="00BB464E"/>
    <w:rsid w:val="00BB6AD6"/>
    <w:rsid w:val="00BB7D3A"/>
    <w:rsid w:val="00BC06B0"/>
    <w:rsid w:val="00BC13D9"/>
    <w:rsid w:val="00BC3BCB"/>
    <w:rsid w:val="00BC4C3C"/>
    <w:rsid w:val="00BC688E"/>
    <w:rsid w:val="00BD3BD3"/>
    <w:rsid w:val="00BD75FF"/>
    <w:rsid w:val="00BE233F"/>
    <w:rsid w:val="00BE4984"/>
    <w:rsid w:val="00BE4D2F"/>
    <w:rsid w:val="00BE5C19"/>
    <w:rsid w:val="00BE71A2"/>
    <w:rsid w:val="00BE7C42"/>
    <w:rsid w:val="00BF45E0"/>
    <w:rsid w:val="00BF5610"/>
    <w:rsid w:val="00BF7733"/>
    <w:rsid w:val="00C006FA"/>
    <w:rsid w:val="00C027DB"/>
    <w:rsid w:val="00C06794"/>
    <w:rsid w:val="00C07607"/>
    <w:rsid w:val="00C101AF"/>
    <w:rsid w:val="00C15C72"/>
    <w:rsid w:val="00C17F14"/>
    <w:rsid w:val="00C2045C"/>
    <w:rsid w:val="00C21CD0"/>
    <w:rsid w:val="00C22DF4"/>
    <w:rsid w:val="00C23488"/>
    <w:rsid w:val="00C30CFE"/>
    <w:rsid w:val="00C3104C"/>
    <w:rsid w:val="00C3440E"/>
    <w:rsid w:val="00C41483"/>
    <w:rsid w:val="00C44480"/>
    <w:rsid w:val="00C4454E"/>
    <w:rsid w:val="00C47372"/>
    <w:rsid w:val="00C5029C"/>
    <w:rsid w:val="00C51086"/>
    <w:rsid w:val="00C51B9B"/>
    <w:rsid w:val="00C6190A"/>
    <w:rsid w:val="00C619EF"/>
    <w:rsid w:val="00C6225F"/>
    <w:rsid w:val="00C62666"/>
    <w:rsid w:val="00C64B5C"/>
    <w:rsid w:val="00C6581D"/>
    <w:rsid w:val="00C679C5"/>
    <w:rsid w:val="00C7045B"/>
    <w:rsid w:val="00C70B07"/>
    <w:rsid w:val="00C70F6B"/>
    <w:rsid w:val="00C73EAF"/>
    <w:rsid w:val="00C7413B"/>
    <w:rsid w:val="00C7783B"/>
    <w:rsid w:val="00C83C0D"/>
    <w:rsid w:val="00C84530"/>
    <w:rsid w:val="00C8615A"/>
    <w:rsid w:val="00C90272"/>
    <w:rsid w:val="00C934AB"/>
    <w:rsid w:val="00C9527B"/>
    <w:rsid w:val="00C966BE"/>
    <w:rsid w:val="00C975E9"/>
    <w:rsid w:val="00C97D80"/>
    <w:rsid w:val="00C97E1E"/>
    <w:rsid w:val="00CA15E0"/>
    <w:rsid w:val="00CA3442"/>
    <w:rsid w:val="00CA3992"/>
    <w:rsid w:val="00CA5B2C"/>
    <w:rsid w:val="00CA64FB"/>
    <w:rsid w:val="00CB2E25"/>
    <w:rsid w:val="00CB5184"/>
    <w:rsid w:val="00CC33ED"/>
    <w:rsid w:val="00CC366B"/>
    <w:rsid w:val="00CC4A85"/>
    <w:rsid w:val="00CC61E8"/>
    <w:rsid w:val="00CC680E"/>
    <w:rsid w:val="00CC7BC7"/>
    <w:rsid w:val="00CD1717"/>
    <w:rsid w:val="00CD1A38"/>
    <w:rsid w:val="00CD1BE1"/>
    <w:rsid w:val="00CD2B17"/>
    <w:rsid w:val="00CD5F75"/>
    <w:rsid w:val="00CD670F"/>
    <w:rsid w:val="00CD67CB"/>
    <w:rsid w:val="00CE1159"/>
    <w:rsid w:val="00CE4273"/>
    <w:rsid w:val="00CE6394"/>
    <w:rsid w:val="00CF1C9B"/>
    <w:rsid w:val="00CF7D40"/>
    <w:rsid w:val="00D012AE"/>
    <w:rsid w:val="00D02C76"/>
    <w:rsid w:val="00D03E64"/>
    <w:rsid w:val="00D07D7D"/>
    <w:rsid w:val="00D12CE8"/>
    <w:rsid w:val="00D2038C"/>
    <w:rsid w:val="00D2176E"/>
    <w:rsid w:val="00D22376"/>
    <w:rsid w:val="00D22ED9"/>
    <w:rsid w:val="00D26A36"/>
    <w:rsid w:val="00D26B80"/>
    <w:rsid w:val="00D275E1"/>
    <w:rsid w:val="00D27A24"/>
    <w:rsid w:val="00D27C7B"/>
    <w:rsid w:val="00D32895"/>
    <w:rsid w:val="00D32A8C"/>
    <w:rsid w:val="00D360F8"/>
    <w:rsid w:val="00D36110"/>
    <w:rsid w:val="00D456FC"/>
    <w:rsid w:val="00D50035"/>
    <w:rsid w:val="00D538D9"/>
    <w:rsid w:val="00D57FA8"/>
    <w:rsid w:val="00D6358B"/>
    <w:rsid w:val="00D63A68"/>
    <w:rsid w:val="00D65540"/>
    <w:rsid w:val="00D66E21"/>
    <w:rsid w:val="00D72691"/>
    <w:rsid w:val="00D7389B"/>
    <w:rsid w:val="00D75767"/>
    <w:rsid w:val="00D77F06"/>
    <w:rsid w:val="00D814BC"/>
    <w:rsid w:val="00D817EB"/>
    <w:rsid w:val="00D81B2B"/>
    <w:rsid w:val="00D83F45"/>
    <w:rsid w:val="00D85923"/>
    <w:rsid w:val="00D85C52"/>
    <w:rsid w:val="00D90D70"/>
    <w:rsid w:val="00D92577"/>
    <w:rsid w:val="00D94C56"/>
    <w:rsid w:val="00D95A68"/>
    <w:rsid w:val="00D97BA4"/>
    <w:rsid w:val="00DA03B4"/>
    <w:rsid w:val="00DA2F04"/>
    <w:rsid w:val="00DA43BA"/>
    <w:rsid w:val="00DA6F70"/>
    <w:rsid w:val="00DA701F"/>
    <w:rsid w:val="00DB0D00"/>
    <w:rsid w:val="00DB1400"/>
    <w:rsid w:val="00DB1A0A"/>
    <w:rsid w:val="00DB1F46"/>
    <w:rsid w:val="00DB260C"/>
    <w:rsid w:val="00DB2FF0"/>
    <w:rsid w:val="00DB7B3D"/>
    <w:rsid w:val="00DC02CB"/>
    <w:rsid w:val="00DC1DBA"/>
    <w:rsid w:val="00DC27E4"/>
    <w:rsid w:val="00DC2AAF"/>
    <w:rsid w:val="00DC5E4A"/>
    <w:rsid w:val="00DC7EEB"/>
    <w:rsid w:val="00DD3061"/>
    <w:rsid w:val="00DD5124"/>
    <w:rsid w:val="00DD66D5"/>
    <w:rsid w:val="00DE0DB0"/>
    <w:rsid w:val="00DE2970"/>
    <w:rsid w:val="00DE366A"/>
    <w:rsid w:val="00DE3E0A"/>
    <w:rsid w:val="00DE5D58"/>
    <w:rsid w:val="00DE6DEB"/>
    <w:rsid w:val="00DF3002"/>
    <w:rsid w:val="00DF3D15"/>
    <w:rsid w:val="00DF3D8B"/>
    <w:rsid w:val="00DF4685"/>
    <w:rsid w:val="00DF66CD"/>
    <w:rsid w:val="00DF7678"/>
    <w:rsid w:val="00E03F60"/>
    <w:rsid w:val="00E04DDC"/>
    <w:rsid w:val="00E0657B"/>
    <w:rsid w:val="00E07927"/>
    <w:rsid w:val="00E13028"/>
    <w:rsid w:val="00E13C1F"/>
    <w:rsid w:val="00E143BE"/>
    <w:rsid w:val="00E15A36"/>
    <w:rsid w:val="00E15E05"/>
    <w:rsid w:val="00E16095"/>
    <w:rsid w:val="00E23F82"/>
    <w:rsid w:val="00E25925"/>
    <w:rsid w:val="00E27E45"/>
    <w:rsid w:val="00E30F9E"/>
    <w:rsid w:val="00E310B2"/>
    <w:rsid w:val="00E34D1B"/>
    <w:rsid w:val="00E37C4D"/>
    <w:rsid w:val="00E475F5"/>
    <w:rsid w:val="00E505C7"/>
    <w:rsid w:val="00E51404"/>
    <w:rsid w:val="00E52565"/>
    <w:rsid w:val="00E53963"/>
    <w:rsid w:val="00E53AEE"/>
    <w:rsid w:val="00E53C8B"/>
    <w:rsid w:val="00E57984"/>
    <w:rsid w:val="00E60960"/>
    <w:rsid w:val="00E64CCF"/>
    <w:rsid w:val="00E669C4"/>
    <w:rsid w:val="00E67019"/>
    <w:rsid w:val="00E705E7"/>
    <w:rsid w:val="00E70EC6"/>
    <w:rsid w:val="00E74E56"/>
    <w:rsid w:val="00E82F29"/>
    <w:rsid w:val="00E83328"/>
    <w:rsid w:val="00E83C59"/>
    <w:rsid w:val="00E91C12"/>
    <w:rsid w:val="00E92766"/>
    <w:rsid w:val="00EA0436"/>
    <w:rsid w:val="00EA53EF"/>
    <w:rsid w:val="00EB10CA"/>
    <w:rsid w:val="00EB203D"/>
    <w:rsid w:val="00EB2298"/>
    <w:rsid w:val="00EB58F7"/>
    <w:rsid w:val="00EB6180"/>
    <w:rsid w:val="00EC0674"/>
    <w:rsid w:val="00EC3023"/>
    <w:rsid w:val="00EC50D7"/>
    <w:rsid w:val="00EC5A5B"/>
    <w:rsid w:val="00EC641E"/>
    <w:rsid w:val="00EC7F78"/>
    <w:rsid w:val="00ED1F2F"/>
    <w:rsid w:val="00ED244B"/>
    <w:rsid w:val="00ED43F1"/>
    <w:rsid w:val="00ED709D"/>
    <w:rsid w:val="00EE1D56"/>
    <w:rsid w:val="00EE222D"/>
    <w:rsid w:val="00EE6F6D"/>
    <w:rsid w:val="00EE7C10"/>
    <w:rsid w:val="00EF1424"/>
    <w:rsid w:val="00EF2905"/>
    <w:rsid w:val="00EF6500"/>
    <w:rsid w:val="00EF6D98"/>
    <w:rsid w:val="00F014E3"/>
    <w:rsid w:val="00F04CF0"/>
    <w:rsid w:val="00F05805"/>
    <w:rsid w:val="00F05914"/>
    <w:rsid w:val="00F127F4"/>
    <w:rsid w:val="00F143FE"/>
    <w:rsid w:val="00F14C9A"/>
    <w:rsid w:val="00F16412"/>
    <w:rsid w:val="00F226C7"/>
    <w:rsid w:val="00F233BA"/>
    <w:rsid w:val="00F30613"/>
    <w:rsid w:val="00F324AF"/>
    <w:rsid w:val="00F32840"/>
    <w:rsid w:val="00F330BB"/>
    <w:rsid w:val="00F33213"/>
    <w:rsid w:val="00F3414E"/>
    <w:rsid w:val="00F37765"/>
    <w:rsid w:val="00F44970"/>
    <w:rsid w:val="00F44FD6"/>
    <w:rsid w:val="00F465D5"/>
    <w:rsid w:val="00F5350A"/>
    <w:rsid w:val="00F53C63"/>
    <w:rsid w:val="00F5495F"/>
    <w:rsid w:val="00F60400"/>
    <w:rsid w:val="00F60EF7"/>
    <w:rsid w:val="00F6514C"/>
    <w:rsid w:val="00F714B8"/>
    <w:rsid w:val="00F7169B"/>
    <w:rsid w:val="00F75A97"/>
    <w:rsid w:val="00F81ACE"/>
    <w:rsid w:val="00F824BF"/>
    <w:rsid w:val="00F84194"/>
    <w:rsid w:val="00F8466C"/>
    <w:rsid w:val="00F85165"/>
    <w:rsid w:val="00F859DD"/>
    <w:rsid w:val="00F90980"/>
    <w:rsid w:val="00F91BE6"/>
    <w:rsid w:val="00F925C8"/>
    <w:rsid w:val="00F97C2A"/>
    <w:rsid w:val="00FA0750"/>
    <w:rsid w:val="00FA235A"/>
    <w:rsid w:val="00FA4493"/>
    <w:rsid w:val="00FB0266"/>
    <w:rsid w:val="00FB03B3"/>
    <w:rsid w:val="00FB2ABB"/>
    <w:rsid w:val="00FB311A"/>
    <w:rsid w:val="00FB46A8"/>
    <w:rsid w:val="00FB70B6"/>
    <w:rsid w:val="00FC00AD"/>
    <w:rsid w:val="00FC2A3E"/>
    <w:rsid w:val="00FC3E47"/>
    <w:rsid w:val="00FC4207"/>
    <w:rsid w:val="00FC42E2"/>
    <w:rsid w:val="00FC5D07"/>
    <w:rsid w:val="00FD0A22"/>
    <w:rsid w:val="00FD2D7C"/>
    <w:rsid w:val="00FD5318"/>
    <w:rsid w:val="00FE0A4D"/>
    <w:rsid w:val="00FE1B7C"/>
    <w:rsid w:val="00FE1DA3"/>
    <w:rsid w:val="00FE2AB9"/>
    <w:rsid w:val="00FE2C98"/>
    <w:rsid w:val="00FE43E8"/>
    <w:rsid w:val="00FE5549"/>
    <w:rsid w:val="00FF13B4"/>
    <w:rsid w:val="00FF2CDA"/>
    <w:rsid w:val="00FF2EAC"/>
    <w:rsid w:val="00FF5C15"/>
    <w:rsid w:val="00FF6249"/>
    <w:rsid w:val="00FF64A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A0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192F"/>
    <w:pPr>
      <w:jc w:val="both"/>
    </w:pPr>
    <w:rPr>
      <w:rFonts w:ascii="Arial" w:hAnsi="Arial" w:cs="Arial"/>
      <w:iCs/>
    </w:rPr>
  </w:style>
  <w:style w:type="paragraph" w:styleId="Titolo1">
    <w:name w:val="heading 1"/>
    <w:basedOn w:val="Normale"/>
    <w:next w:val="Normale"/>
    <w:link w:val="Titolo1Carattere"/>
    <w:uiPriority w:val="9"/>
    <w:qFormat/>
    <w:rsid w:val="001C44B8"/>
    <w:pPr>
      <w:outlineLvl w:val="0"/>
    </w:pPr>
    <w:rPr>
      <w:rFonts w:ascii="Arial Narrow" w:hAnsi="Arial Narrow"/>
      <w:b/>
      <w:bCs/>
      <w:iCs w:val="0"/>
      <w:color w:val="1F3864" w:themeColor="accent5" w:themeShade="80"/>
      <w:sz w:val="32"/>
      <w:szCs w:val="32"/>
    </w:rPr>
  </w:style>
  <w:style w:type="paragraph" w:styleId="Titolo2">
    <w:name w:val="heading 2"/>
    <w:basedOn w:val="Titolo1"/>
    <w:next w:val="Normale"/>
    <w:link w:val="Titolo2Carattere"/>
    <w:uiPriority w:val="9"/>
    <w:unhideWhenUsed/>
    <w:qFormat/>
    <w:rsid w:val="001C44B8"/>
    <w:pPr>
      <w:spacing w:after="120" w:line="240" w:lineRule="auto"/>
      <w:jc w:val="left"/>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783B"/>
    <w:pPr>
      <w:ind w:left="720"/>
      <w:contextualSpacing/>
    </w:pPr>
  </w:style>
  <w:style w:type="character" w:styleId="Rimandonotaapidipagina">
    <w:name w:val="footnote reference"/>
    <w:basedOn w:val="Carpredefinitoparagrafo"/>
    <w:uiPriority w:val="99"/>
    <w:semiHidden/>
    <w:unhideWhenUsed/>
    <w:rsid w:val="00C7783B"/>
    <w:rPr>
      <w:vertAlign w:val="superscript"/>
    </w:rPr>
  </w:style>
  <w:style w:type="paragraph" w:customStyle="1" w:styleId="elencopuntato">
    <w:name w:val="@elenco puntato"/>
    <w:basedOn w:val="Paragrafoelenco"/>
    <w:qFormat/>
    <w:rsid w:val="001C44B8"/>
    <w:pPr>
      <w:numPr>
        <w:numId w:val="10"/>
      </w:numPr>
      <w:snapToGrid w:val="0"/>
      <w:spacing w:line="240" w:lineRule="auto"/>
      <w:ind w:left="357" w:hanging="357"/>
      <w:contextualSpacing w:val="0"/>
    </w:pPr>
  </w:style>
  <w:style w:type="paragraph" w:styleId="Testonotaapidipagina">
    <w:name w:val="footnote text"/>
    <w:basedOn w:val="Normale"/>
    <w:link w:val="TestonotaapidipaginaCarattere"/>
    <w:uiPriority w:val="99"/>
    <w:unhideWhenUsed/>
    <w:rsid w:val="001C44B8"/>
    <w:pPr>
      <w:spacing w:after="120" w:line="240" w:lineRule="auto"/>
      <w:jc w:val="left"/>
    </w:pPr>
    <w:rPr>
      <w:rFonts w:ascii="Arial Narrow" w:hAnsi="Arial Narrow"/>
      <w:iCs w:val="0"/>
      <w:sz w:val="18"/>
      <w:szCs w:val="18"/>
    </w:rPr>
  </w:style>
  <w:style w:type="character" w:customStyle="1" w:styleId="TestonotaapidipaginaCarattere">
    <w:name w:val="Testo nota a piè di pagina Carattere"/>
    <w:basedOn w:val="Carpredefinitoparagrafo"/>
    <w:link w:val="Testonotaapidipagina"/>
    <w:uiPriority w:val="99"/>
    <w:rsid w:val="001C44B8"/>
    <w:rPr>
      <w:rFonts w:ascii="Arial Narrow" w:hAnsi="Arial Narrow" w:cs="Arial"/>
      <w:sz w:val="18"/>
      <w:szCs w:val="18"/>
    </w:rPr>
  </w:style>
  <w:style w:type="character" w:styleId="Rimandocommento">
    <w:name w:val="annotation reference"/>
    <w:basedOn w:val="Carpredefinitoparagrafo"/>
    <w:uiPriority w:val="99"/>
    <w:semiHidden/>
    <w:unhideWhenUsed/>
    <w:rsid w:val="000C723A"/>
    <w:rPr>
      <w:sz w:val="16"/>
      <w:szCs w:val="16"/>
    </w:rPr>
  </w:style>
  <w:style w:type="paragraph" w:styleId="Testocommento">
    <w:name w:val="annotation text"/>
    <w:basedOn w:val="Normale"/>
    <w:link w:val="TestocommentoCarattere"/>
    <w:uiPriority w:val="99"/>
    <w:semiHidden/>
    <w:unhideWhenUsed/>
    <w:rsid w:val="000C723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C723A"/>
    <w:rPr>
      <w:sz w:val="20"/>
      <w:szCs w:val="20"/>
    </w:rPr>
  </w:style>
  <w:style w:type="paragraph" w:styleId="Soggettocommento">
    <w:name w:val="annotation subject"/>
    <w:basedOn w:val="Testocommento"/>
    <w:next w:val="Testocommento"/>
    <w:link w:val="SoggettocommentoCarattere"/>
    <w:uiPriority w:val="99"/>
    <w:semiHidden/>
    <w:unhideWhenUsed/>
    <w:rsid w:val="000C723A"/>
    <w:rPr>
      <w:b/>
      <w:bCs/>
    </w:rPr>
  </w:style>
  <w:style w:type="character" w:customStyle="1" w:styleId="SoggettocommentoCarattere">
    <w:name w:val="Soggetto commento Carattere"/>
    <w:basedOn w:val="TestocommentoCarattere"/>
    <w:link w:val="Soggettocommento"/>
    <w:uiPriority w:val="99"/>
    <w:semiHidden/>
    <w:rsid w:val="000C723A"/>
    <w:rPr>
      <w:b/>
      <w:bCs/>
      <w:sz w:val="20"/>
      <w:szCs w:val="20"/>
    </w:rPr>
  </w:style>
  <w:style w:type="paragraph" w:styleId="Testofumetto">
    <w:name w:val="Balloon Text"/>
    <w:basedOn w:val="Normale"/>
    <w:link w:val="TestofumettoCarattere"/>
    <w:uiPriority w:val="99"/>
    <w:semiHidden/>
    <w:unhideWhenUsed/>
    <w:rsid w:val="000C72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723A"/>
    <w:rPr>
      <w:rFonts w:ascii="Segoe UI" w:hAnsi="Segoe UI" w:cs="Segoe UI"/>
      <w:sz w:val="18"/>
      <w:szCs w:val="18"/>
    </w:rPr>
  </w:style>
  <w:style w:type="character" w:styleId="Collegamentoipertestuale">
    <w:name w:val="Hyperlink"/>
    <w:basedOn w:val="Carpredefinitoparagrafo"/>
    <w:uiPriority w:val="99"/>
    <w:unhideWhenUsed/>
    <w:rsid w:val="00153112"/>
    <w:rPr>
      <w:color w:val="0000FF"/>
      <w:u w:val="single"/>
    </w:rPr>
  </w:style>
  <w:style w:type="table" w:styleId="Grigliatabella">
    <w:name w:val="Table Grid"/>
    <w:basedOn w:val="Tabellanormale"/>
    <w:uiPriority w:val="39"/>
    <w:rsid w:val="00E7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C5E60"/>
    <w:pPr>
      <w:spacing w:after="0" w:line="240" w:lineRule="auto"/>
    </w:pPr>
  </w:style>
  <w:style w:type="character" w:styleId="Collegamentovisitato">
    <w:name w:val="FollowedHyperlink"/>
    <w:basedOn w:val="Carpredefinitoparagrafo"/>
    <w:uiPriority w:val="99"/>
    <w:semiHidden/>
    <w:unhideWhenUsed/>
    <w:rsid w:val="00C22DF4"/>
    <w:rPr>
      <w:color w:val="954F72" w:themeColor="followedHyperlink"/>
      <w:u w:val="single"/>
    </w:rPr>
  </w:style>
  <w:style w:type="character" w:customStyle="1" w:styleId="object">
    <w:name w:val="object"/>
    <w:basedOn w:val="Carpredefinitoparagrafo"/>
    <w:rsid w:val="00EC50D7"/>
  </w:style>
  <w:style w:type="character" w:styleId="Enfasicorsivo">
    <w:name w:val="Emphasis"/>
    <w:basedOn w:val="Carpredefinitoparagrafo"/>
    <w:uiPriority w:val="20"/>
    <w:qFormat/>
    <w:rsid w:val="001D42E5"/>
    <w:rPr>
      <w:i/>
      <w:iCs/>
    </w:rPr>
  </w:style>
  <w:style w:type="paragraph" w:styleId="Intestazione">
    <w:name w:val="header"/>
    <w:basedOn w:val="Normale"/>
    <w:link w:val="IntestazioneCarattere"/>
    <w:uiPriority w:val="99"/>
    <w:rsid w:val="00E16095"/>
    <w:pPr>
      <w:tabs>
        <w:tab w:val="center" w:pos="4819"/>
        <w:tab w:val="right" w:pos="9638"/>
      </w:tabs>
      <w:spacing w:after="0" w:line="240" w:lineRule="auto"/>
    </w:pPr>
    <w:rPr>
      <w:rFonts w:ascii="Garamond" w:eastAsia="Times New Roman" w:hAnsi="Garamond" w:cs="Times New Roman"/>
      <w:sz w:val="28"/>
      <w:szCs w:val="24"/>
      <w:lang w:eastAsia="it-IT"/>
    </w:rPr>
  </w:style>
  <w:style w:type="character" w:customStyle="1" w:styleId="IntestazioneCarattere">
    <w:name w:val="Intestazione Carattere"/>
    <w:basedOn w:val="Carpredefinitoparagrafo"/>
    <w:link w:val="Intestazione"/>
    <w:uiPriority w:val="99"/>
    <w:rsid w:val="00E16095"/>
    <w:rPr>
      <w:rFonts w:ascii="Garamond" w:eastAsia="Times New Roman" w:hAnsi="Garamond" w:cs="Times New Roman"/>
      <w:sz w:val="28"/>
      <w:szCs w:val="24"/>
      <w:lang w:eastAsia="it-IT"/>
    </w:rPr>
  </w:style>
  <w:style w:type="paragraph" w:styleId="Pidipagina">
    <w:name w:val="footer"/>
    <w:basedOn w:val="Normale"/>
    <w:link w:val="PidipaginaCarattere"/>
    <w:uiPriority w:val="99"/>
    <w:rsid w:val="00E16095"/>
    <w:pPr>
      <w:tabs>
        <w:tab w:val="center" w:pos="4819"/>
        <w:tab w:val="right" w:pos="9638"/>
      </w:tabs>
      <w:spacing w:after="0" w:line="240" w:lineRule="auto"/>
    </w:pPr>
    <w:rPr>
      <w:rFonts w:ascii="Garamond" w:eastAsia="Times New Roman" w:hAnsi="Garamond" w:cs="Times New Roman"/>
      <w:sz w:val="28"/>
      <w:szCs w:val="24"/>
      <w:lang w:val="x-none" w:eastAsia="x-none"/>
    </w:rPr>
  </w:style>
  <w:style w:type="character" w:customStyle="1" w:styleId="PidipaginaCarattere">
    <w:name w:val="Piè di pagina Carattere"/>
    <w:basedOn w:val="Carpredefinitoparagrafo"/>
    <w:link w:val="Pidipagina"/>
    <w:uiPriority w:val="99"/>
    <w:rsid w:val="00E16095"/>
    <w:rPr>
      <w:rFonts w:ascii="Garamond" w:eastAsia="Times New Roman" w:hAnsi="Garamond" w:cs="Times New Roman"/>
      <w:sz w:val="28"/>
      <w:szCs w:val="24"/>
      <w:lang w:val="x-none" w:eastAsia="x-none"/>
    </w:rPr>
  </w:style>
  <w:style w:type="character" w:styleId="Numeropagina">
    <w:name w:val="page number"/>
    <w:basedOn w:val="Carpredefinitoparagrafo"/>
    <w:rsid w:val="00E16095"/>
  </w:style>
  <w:style w:type="character" w:customStyle="1" w:styleId="Menzionenonrisolta1">
    <w:name w:val="Menzione non risolta1"/>
    <w:basedOn w:val="Carpredefinitoparagrafo"/>
    <w:uiPriority w:val="99"/>
    <w:semiHidden/>
    <w:unhideWhenUsed/>
    <w:rsid w:val="00AA2D61"/>
    <w:rPr>
      <w:color w:val="605E5C"/>
      <w:shd w:val="clear" w:color="auto" w:fill="E1DFDD"/>
    </w:rPr>
  </w:style>
  <w:style w:type="paragraph" w:styleId="NormaleWeb">
    <w:name w:val="Normal (Web)"/>
    <w:basedOn w:val="Normale"/>
    <w:uiPriority w:val="99"/>
    <w:semiHidden/>
    <w:unhideWhenUsed/>
    <w:rsid w:val="00D12C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10"/>
    <w:qFormat/>
    <w:rsid w:val="00767484"/>
    <w:pPr>
      <w:autoSpaceDE w:val="0"/>
      <w:autoSpaceDN w:val="0"/>
      <w:adjustRightInd w:val="0"/>
      <w:snapToGrid w:val="0"/>
      <w:spacing w:after="0" w:line="440" w:lineRule="exact"/>
      <w:jc w:val="left"/>
    </w:pPr>
    <w:rPr>
      <w:rFonts w:ascii="Arial Narrow" w:hAnsi="Arial Narrow"/>
      <w:b/>
      <w:bCs/>
      <w:iCs w:val="0"/>
      <w:caps/>
      <w:color w:val="1F3864" w:themeColor="accent5" w:themeShade="80"/>
      <w:sz w:val="44"/>
      <w:szCs w:val="44"/>
    </w:rPr>
  </w:style>
  <w:style w:type="character" w:customStyle="1" w:styleId="TitoloCarattere">
    <w:name w:val="Titolo Carattere"/>
    <w:basedOn w:val="Carpredefinitoparagrafo"/>
    <w:link w:val="Titolo"/>
    <w:uiPriority w:val="10"/>
    <w:rsid w:val="00767484"/>
    <w:rPr>
      <w:rFonts w:ascii="Arial Narrow" w:hAnsi="Arial Narrow" w:cs="Arial"/>
      <w:b/>
      <w:bCs/>
      <w:caps/>
      <w:color w:val="1F3864" w:themeColor="accent5" w:themeShade="80"/>
      <w:sz w:val="44"/>
      <w:szCs w:val="44"/>
    </w:rPr>
  </w:style>
  <w:style w:type="character" w:customStyle="1" w:styleId="Titolo1Carattere">
    <w:name w:val="Titolo 1 Carattere"/>
    <w:basedOn w:val="Carpredefinitoparagrafo"/>
    <w:link w:val="Titolo1"/>
    <w:uiPriority w:val="9"/>
    <w:rsid w:val="001C44B8"/>
    <w:rPr>
      <w:rFonts w:ascii="Arial Narrow" w:hAnsi="Arial Narrow" w:cs="Arial"/>
      <w:b/>
      <w:bCs/>
      <w:color w:val="1F3864" w:themeColor="accent5" w:themeShade="80"/>
      <w:sz w:val="32"/>
      <w:szCs w:val="32"/>
    </w:rPr>
  </w:style>
  <w:style w:type="character" w:customStyle="1" w:styleId="Titolo2Carattere">
    <w:name w:val="Titolo 2 Carattere"/>
    <w:basedOn w:val="Carpredefinitoparagrafo"/>
    <w:link w:val="Titolo2"/>
    <w:uiPriority w:val="9"/>
    <w:rsid w:val="001C44B8"/>
    <w:rPr>
      <w:rFonts w:ascii="Arial Narrow" w:hAnsi="Arial Narrow" w:cs="Arial"/>
      <w:b/>
      <w:bCs/>
      <w:color w:val="1F3864" w:themeColor="accent5" w:themeShade="80"/>
      <w:sz w:val="32"/>
      <w:szCs w:val="32"/>
    </w:rPr>
  </w:style>
  <w:style w:type="paragraph" w:customStyle="1" w:styleId="TitoloTabella">
    <w:name w:val="TitoloTabella"/>
    <w:basedOn w:val="Normale"/>
    <w:qFormat/>
    <w:rsid w:val="001C44B8"/>
    <w:pPr>
      <w:snapToGrid w:val="0"/>
      <w:spacing w:after="120" w:line="240" w:lineRule="auto"/>
      <w:jc w:val="left"/>
    </w:pPr>
    <w:rPr>
      <w:b/>
      <w:bCs/>
      <w:color w:val="1F3864" w:themeColor="accent5" w:themeShade="80"/>
      <w:sz w:val="24"/>
      <w:szCs w:val="24"/>
    </w:rPr>
  </w:style>
  <w:style w:type="paragraph" w:customStyle="1" w:styleId="Nota">
    <w:name w:val="Nota"/>
    <w:basedOn w:val="Normale"/>
    <w:qFormat/>
    <w:rsid w:val="001C44B8"/>
    <w:pPr>
      <w:spacing w:before="120" w:after="0" w:line="240" w:lineRule="auto"/>
    </w:pPr>
    <w:rPr>
      <w:sz w:val="16"/>
      <w:szCs w:val="16"/>
    </w:rPr>
  </w:style>
  <w:style w:type="character" w:customStyle="1" w:styleId="Menzionenonrisolta2">
    <w:name w:val="Menzione non risolta2"/>
    <w:basedOn w:val="Carpredefinitoparagrafo"/>
    <w:uiPriority w:val="99"/>
    <w:semiHidden/>
    <w:unhideWhenUsed/>
    <w:rsid w:val="00B94B4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192F"/>
    <w:pPr>
      <w:jc w:val="both"/>
    </w:pPr>
    <w:rPr>
      <w:rFonts w:ascii="Arial" w:hAnsi="Arial" w:cs="Arial"/>
      <w:iCs/>
    </w:rPr>
  </w:style>
  <w:style w:type="paragraph" w:styleId="Titolo1">
    <w:name w:val="heading 1"/>
    <w:basedOn w:val="Normale"/>
    <w:next w:val="Normale"/>
    <w:link w:val="Titolo1Carattere"/>
    <w:uiPriority w:val="9"/>
    <w:qFormat/>
    <w:rsid w:val="001C44B8"/>
    <w:pPr>
      <w:outlineLvl w:val="0"/>
    </w:pPr>
    <w:rPr>
      <w:rFonts w:ascii="Arial Narrow" w:hAnsi="Arial Narrow"/>
      <w:b/>
      <w:bCs/>
      <w:iCs w:val="0"/>
      <w:color w:val="1F3864" w:themeColor="accent5" w:themeShade="80"/>
      <w:sz w:val="32"/>
      <w:szCs w:val="32"/>
    </w:rPr>
  </w:style>
  <w:style w:type="paragraph" w:styleId="Titolo2">
    <w:name w:val="heading 2"/>
    <w:basedOn w:val="Titolo1"/>
    <w:next w:val="Normale"/>
    <w:link w:val="Titolo2Carattere"/>
    <w:uiPriority w:val="9"/>
    <w:unhideWhenUsed/>
    <w:qFormat/>
    <w:rsid w:val="001C44B8"/>
    <w:pPr>
      <w:spacing w:after="120" w:line="240" w:lineRule="auto"/>
      <w:jc w:val="left"/>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783B"/>
    <w:pPr>
      <w:ind w:left="720"/>
      <w:contextualSpacing/>
    </w:pPr>
  </w:style>
  <w:style w:type="character" w:styleId="Rimandonotaapidipagina">
    <w:name w:val="footnote reference"/>
    <w:basedOn w:val="Carpredefinitoparagrafo"/>
    <w:uiPriority w:val="99"/>
    <w:semiHidden/>
    <w:unhideWhenUsed/>
    <w:rsid w:val="00C7783B"/>
    <w:rPr>
      <w:vertAlign w:val="superscript"/>
    </w:rPr>
  </w:style>
  <w:style w:type="paragraph" w:customStyle="1" w:styleId="elencopuntato">
    <w:name w:val="@elenco puntato"/>
    <w:basedOn w:val="Paragrafoelenco"/>
    <w:qFormat/>
    <w:rsid w:val="001C44B8"/>
    <w:pPr>
      <w:numPr>
        <w:numId w:val="10"/>
      </w:numPr>
      <w:snapToGrid w:val="0"/>
      <w:spacing w:line="240" w:lineRule="auto"/>
      <w:ind w:left="357" w:hanging="357"/>
      <w:contextualSpacing w:val="0"/>
    </w:pPr>
  </w:style>
  <w:style w:type="paragraph" w:styleId="Testonotaapidipagina">
    <w:name w:val="footnote text"/>
    <w:basedOn w:val="Normale"/>
    <w:link w:val="TestonotaapidipaginaCarattere"/>
    <w:uiPriority w:val="99"/>
    <w:unhideWhenUsed/>
    <w:rsid w:val="001C44B8"/>
    <w:pPr>
      <w:spacing w:after="120" w:line="240" w:lineRule="auto"/>
      <w:jc w:val="left"/>
    </w:pPr>
    <w:rPr>
      <w:rFonts w:ascii="Arial Narrow" w:hAnsi="Arial Narrow"/>
      <w:iCs w:val="0"/>
      <w:sz w:val="18"/>
      <w:szCs w:val="18"/>
    </w:rPr>
  </w:style>
  <w:style w:type="character" w:customStyle="1" w:styleId="TestonotaapidipaginaCarattere">
    <w:name w:val="Testo nota a piè di pagina Carattere"/>
    <w:basedOn w:val="Carpredefinitoparagrafo"/>
    <w:link w:val="Testonotaapidipagina"/>
    <w:uiPriority w:val="99"/>
    <w:rsid w:val="001C44B8"/>
    <w:rPr>
      <w:rFonts w:ascii="Arial Narrow" w:hAnsi="Arial Narrow" w:cs="Arial"/>
      <w:sz w:val="18"/>
      <w:szCs w:val="18"/>
    </w:rPr>
  </w:style>
  <w:style w:type="character" w:styleId="Rimandocommento">
    <w:name w:val="annotation reference"/>
    <w:basedOn w:val="Carpredefinitoparagrafo"/>
    <w:uiPriority w:val="99"/>
    <w:semiHidden/>
    <w:unhideWhenUsed/>
    <w:rsid w:val="000C723A"/>
    <w:rPr>
      <w:sz w:val="16"/>
      <w:szCs w:val="16"/>
    </w:rPr>
  </w:style>
  <w:style w:type="paragraph" w:styleId="Testocommento">
    <w:name w:val="annotation text"/>
    <w:basedOn w:val="Normale"/>
    <w:link w:val="TestocommentoCarattere"/>
    <w:uiPriority w:val="99"/>
    <w:semiHidden/>
    <w:unhideWhenUsed/>
    <w:rsid w:val="000C723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C723A"/>
    <w:rPr>
      <w:sz w:val="20"/>
      <w:szCs w:val="20"/>
    </w:rPr>
  </w:style>
  <w:style w:type="paragraph" w:styleId="Soggettocommento">
    <w:name w:val="annotation subject"/>
    <w:basedOn w:val="Testocommento"/>
    <w:next w:val="Testocommento"/>
    <w:link w:val="SoggettocommentoCarattere"/>
    <w:uiPriority w:val="99"/>
    <w:semiHidden/>
    <w:unhideWhenUsed/>
    <w:rsid w:val="000C723A"/>
    <w:rPr>
      <w:b/>
      <w:bCs/>
    </w:rPr>
  </w:style>
  <w:style w:type="character" w:customStyle="1" w:styleId="SoggettocommentoCarattere">
    <w:name w:val="Soggetto commento Carattere"/>
    <w:basedOn w:val="TestocommentoCarattere"/>
    <w:link w:val="Soggettocommento"/>
    <w:uiPriority w:val="99"/>
    <w:semiHidden/>
    <w:rsid w:val="000C723A"/>
    <w:rPr>
      <w:b/>
      <w:bCs/>
      <w:sz w:val="20"/>
      <w:szCs w:val="20"/>
    </w:rPr>
  </w:style>
  <w:style w:type="paragraph" w:styleId="Testofumetto">
    <w:name w:val="Balloon Text"/>
    <w:basedOn w:val="Normale"/>
    <w:link w:val="TestofumettoCarattere"/>
    <w:uiPriority w:val="99"/>
    <w:semiHidden/>
    <w:unhideWhenUsed/>
    <w:rsid w:val="000C72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723A"/>
    <w:rPr>
      <w:rFonts w:ascii="Segoe UI" w:hAnsi="Segoe UI" w:cs="Segoe UI"/>
      <w:sz w:val="18"/>
      <w:szCs w:val="18"/>
    </w:rPr>
  </w:style>
  <w:style w:type="character" w:styleId="Collegamentoipertestuale">
    <w:name w:val="Hyperlink"/>
    <w:basedOn w:val="Carpredefinitoparagrafo"/>
    <w:uiPriority w:val="99"/>
    <w:unhideWhenUsed/>
    <w:rsid w:val="00153112"/>
    <w:rPr>
      <w:color w:val="0000FF"/>
      <w:u w:val="single"/>
    </w:rPr>
  </w:style>
  <w:style w:type="table" w:styleId="Grigliatabella">
    <w:name w:val="Table Grid"/>
    <w:basedOn w:val="Tabellanormale"/>
    <w:uiPriority w:val="39"/>
    <w:rsid w:val="00E7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C5E60"/>
    <w:pPr>
      <w:spacing w:after="0" w:line="240" w:lineRule="auto"/>
    </w:pPr>
  </w:style>
  <w:style w:type="character" w:styleId="Collegamentovisitato">
    <w:name w:val="FollowedHyperlink"/>
    <w:basedOn w:val="Carpredefinitoparagrafo"/>
    <w:uiPriority w:val="99"/>
    <w:semiHidden/>
    <w:unhideWhenUsed/>
    <w:rsid w:val="00C22DF4"/>
    <w:rPr>
      <w:color w:val="954F72" w:themeColor="followedHyperlink"/>
      <w:u w:val="single"/>
    </w:rPr>
  </w:style>
  <w:style w:type="character" w:customStyle="1" w:styleId="object">
    <w:name w:val="object"/>
    <w:basedOn w:val="Carpredefinitoparagrafo"/>
    <w:rsid w:val="00EC50D7"/>
  </w:style>
  <w:style w:type="character" w:styleId="Enfasicorsivo">
    <w:name w:val="Emphasis"/>
    <w:basedOn w:val="Carpredefinitoparagrafo"/>
    <w:uiPriority w:val="20"/>
    <w:qFormat/>
    <w:rsid w:val="001D42E5"/>
    <w:rPr>
      <w:i/>
      <w:iCs/>
    </w:rPr>
  </w:style>
  <w:style w:type="paragraph" w:styleId="Intestazione">
    <w:name w:val="header"/>
    <w:basedOn w:val="Normale"/>
    <w:link w:val="IntestazioneCarattere"/>
    <w:uiPriority w:val="99"/>
    <w:rsid w:val="00E16095"/>
    <w:pPr>
      <w:tabs>
        <w:tab w:val="center" w:pos="4819"/>
        <w:tab w:val="right" w:pos="9638"/>
      </w:tabs>
      <w:spacing w:after="0" w:line="240" w:lineRule="auto"/>
    </w:pPr>
    <w:rPr>
      <w:rFonts w:ascii="Garamond" w:eastAsia="Times New Roman" w:hAnsi="Garamond" w:cs="Times New Roman"/>
      <w:sz w:val="28"/>
      <w:szCs w:val="24"/>
      <w:lang w:eastAsia="it-IT"/>
    </w:rPr>
  </w:style>
  <w:style w:type="character" w:customStyle="1" w:styleId="IntestazioneCarattere">
    <w:name w:val="Intestazione Carattere"/>
    <w:basedOn w:val="Carpredefinitoparagrafo"/>
    <w:link w:val="Intestazione"/>
    <w:uiPriority w:val="99"/>
    <w:rsid w:val="00E16095"/>
    <w:rPr>
      <w:rFonts w:ascii="Garamond" w:eastAsia="Times New Roman" w:hAnsi="Garamond" w:cs="Times New Roman"/>
      <w:sz w:val="28"/>
      <w:szCs w:val="24"/>
      <w:lang w:eastAsia="it-IT"/>
    </w:rPr>
  </w:style>
  <w:style w:type="paragraph" w:styleId="Pidipagina">
    <w:name w:val="footer"/>
    <w:basedOn w:val="Normale"/>
    <w:link w:val="PidipaginaCarattere"/>
    <w:uiPriority w:val="99"/>
    <w:rsid w:val="00E16095"/>
    <w:pPr>
      <w:tabs>
        <w:tab w:val="center" w:pos="4819"/>
        <w:tab w:val="right" w:pos="9638"/>
      </w:tabs>
      <w:spacing w:after="0" w:line="240" w:lineRule="auto"/>
    </w:pPr>
    <w:rPr>
      <w:rFonts w:ascii="Garamond" w:eastAsia="Times New Roman" w:hAnsi="Garamond" w:cs="Times New Roman"/>
      <w:sz w:val="28"/>
      <w:szCs w:val="24"/>
      <w:lang w:val="x-none" w:eastAsia="x-none"/>
    </w:rPr>
  </w:style>
  <w:style w:type="character" w:customStyle="1" w:styleId="PidipaginaCarattere">
    <w:name w:val="Piè di pagina Carattere"/>
    <w:basedOn w:val="Carpredefinitoparagrafo"/>
    <w:link w:val="Pidipagina"/>
    <w:uiPriority w:val="99"/>
    <w:rsid w:val="00E16095"/>
    <w:rPr>
      <w:rFonts w:ascii="Garamond" w:eastAsia="Times New Roman" w:hAnsi="Garamond" w:cs="Times New Roman"/>
      <w:sz w:val="28"/>
      <w:szCs w:val="24"/>
      <w:lang w:val="x-none" w:eastAsia="x-none"/>
    </w:rPr>
  </w:style>
  <w:style w:type="character" w:styleId="Numeropagina">
    <w:name w:val="page number"/>
    <w:basedOn w:val="Carpredefinitoparagrafo"/>
    <w:rsid w:val="00E16095"/>
  </w:style>
  <w:style w:type="character" w:customStyle="1" w:styleId="Menzionenonrisolta1">
    <w:name w:val="Menzione non risolta1"/>
    <w:basedOn w:val="Carpredefinitoparagrafo"/>
    <w:uiPriority w:val="99"/>
    <w:semiHidden/>
    <w:unhideWhenUsed/>
    <w:rsid w:val="00AA2D61"/>
    <w:rPr>
      <w:color w:val="605E5C"/>
      <w:shd w:val="clear" w:color="auto" w:fill="E1DFDD"/>
    </w:rPr>
  </w:style>
  <w:style w:type="paragraph" w:styleId="NormaleWeb">
    <w:name w:val="Normal (Web)"/>
    <w:basedOn w:val="Normale"/>
    <w:uiPriority w:val="99"/>
    <w:semiHidden/>
    <w:unhideWhenUsed/>
    <w:rsid w:val="00D12C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10"/>
    <w:qFormat/>
    <w:rsid w:val="00767484"/>
    <w:pPr>
      <w:autoSpaceDE w:val="0"/>
      <w:autoSpaceDN w:val="0"/>
      <w:adjustRightInd w:val="0"/>
      <w:snapToGrid w:val="0"/>
      <w:spacing w:after="0" w:line="440" w:lineRule="exact"/>
      <w:jc w:val="left"/>
    </w:pPr>
    <w:rPr>
      <w:rFonts w:ascii="Arial Narrow" w:hAnsi="Arial Narrow"/>
      <w:b/>
      <w:bCs/>
      <w:iCs w:val="0"/>
      <w:caps/>
      <w:color w:val="1F3864" w:themeColor="accent5" w:themeShade="80"/>
      <w:sz w:val="44"/>
      <w:szCs w:val="44"/>
    </w:rPr>
  </w:style>
  <w:style w:type="character" w:customStyle="1" w:styleId="TitoloCarattere">
    <w:name w:val="Titolo Carattere"/>
    <w:basedOn w:val="Carpredefinitoparagrafo"/>
    <w:link w:val="Titolo"/>
    <w:uiPriority w:val="10"/>
    <w:rsid w:val="00767484"/>
    <w:rPr>
      <w:rFonts w:ascii="Arial Narrow" w:hAnsi="Arial Narrow" w:cs="Arial"/>
      <w:b/>
      <w:bCs/>
      <w:caps/>
      <w:color w:val="1F3864" w:themeColor="accent5" w:themeShade="80"/>
      <w:sz w:val="44"/>
      <w:szCs w:val="44"/>
    </w:rPr>
  </w:style>
  <w:style w:type="character" w:customStyle="1" w:styleId="Titolo1Carattere">
    <w:name w:val="Titolo 1 Carattere"/>
    <w:basedOn w:val="Carpredefinitoparagrafo"/>
    <w:link w:val="Titolo1"/>
    <w:uiPriority w:val="9"/>
    <w:rsid w:val="001C44B8"/>
    <w:rPr>
      <w:rFonts w:ascii="Arial Narrow" w:hAnsi="Arial Narrow" w:cs="Arial"/>
      <w:b/>
      <w:bCs/>
      <w:color w:val="1F3864" w:themeColor="accent5" w:themeShade="80"/>
      <w:sz w:val="32"/>
      <w:szCs w:val="32"/>
    </w:rPr>
  </w:style>
  <w:style w:type="character" w:customStyle="1" w:styleId="Titolo2Carattere">
    <w:name w:val="Titolo 2 Carattere"/>
    <w:basedOn w:val="Carpredefinitoparagrafo"/>
    <w:link w:val="Titolo2"/>
    <w:uiPriority w:val="9"/>
    <w:rsid w:val="001C44B8"/>
    <w:rPr>
      <w:rFonts w:ascii="Arial Narrow" w:hAnsi="Arial Narrow" w:cs="Arial"/>
      <w:b/>
      <w:bCs/>
      <w:color w:val="1F3864" w:themeColor="accent5" w:themeShade="80"/>
      <w:sz w:val="32"/>
      <w:szCs w:val="32"/>
    </w:rPr>
  </w:style>
  <w:style w:type="paragraph" w:customStyle="1" w:styleId="TitoloTabella">
    <w:name w:val="TitoloTabella"/>
    <w:basedOn w:val="Normale"/>
    <w:qFormat/>
    <w:rsid w:val="001C44B8"/>
    <w:pPr>
      <w:snapToGrid w:val="0"/>
      <w:spacing w:after="120" w:line="240" w:lineRule="auto"/>
      <w:jc w:val="left"/>
    </w:pPr>
    <w:rPr>
      <w:b/>
      <w:bCs/>
      <w:color w:val="1F3864" w:themeColor="accent5" w:themeShade="80"/>
      <w:sz w:val="24"/>
      <w:szCs w:val="24"/>
    </w:rPr>
  </w:style>
  <w:style w:type="paragraph" w:customStyle="1" w:styleId="Nota">
    <w:name w:val="Nota"/>
    <w:basedOn w:val="Normale"/>
    <w:qFormat/>
    <w:rsid w:val="001C44B8"/>
    <w:pPr>
      <w:spacing w:before="120" w:after="0" w:line="240" w:lineRule="auto"/>
    </w:pPr>
    <w:rPr>
      <w:sz w:val="16"/>
      <w:szCs w:val="16"/>
    </w:rPr>
  </w:style>
  <w:style w:type="character" w:customStyle="1" w:styleId="Menzionenonrisolta2">
    <w:name w:val="Menzione non risolta2"/>
    <w:basedOn w:val="Carpredefinitoparagrafo"/>
    <w:uiPriority w:val="99"/>
    <w:semiHidden/>
    <w:unhideWhenUsed/>
    <w:rsid w:val="00B94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7438">
      <w:bodyDiv w:val="1"/>
      <w:marLeft w:val="0"/>
      <w:marRight w:val="0"/>
      <w:marTop w:val="0"/>
      <w:marBottom w:val="0"/>
      <w:divBdr>
        <w:top w:val="none" w:sz="0" w:space="0" w:color="auto"/>
        <w:left w:val="none" w:sz="0" w:space="0" w:color="auto"/>
        <w:bottom w:val="none" w:sz="0" w:space="0" w:color="auto"/>
        <w:right w:val="none" w:sz="0" w:space="0" w:color="auto"/>
      </w:divBdr>
    </w:div>
    <w:div w:id="238833059">
      <w:bodyDiv w:val="1"/>
      <w:marLeft w:val="0"/>
      <w:marRight w:val="0"/>
      <w:marTop w:val="0"/>
      <w:marBottom w:val="0"/>
      <w:divBdr>
        <w:top w:val="none" w:sz="0" w:space="0" w:color="auto"/>
        <w:left w:val="none" w:sz="0" w:space="0" w:color="auto"/>
        <w:bottom w:val="none" w:sz="0" w:space="0" w:color="auto"/>
        <w:right w:val="none" w:sz="0" w:space="0" w:color="auto"/>
      </w:divBdr>
      <w:divsChild>
        <w:div w:id="318387806">
          <w:marLeft w:val="0"/>
          <w:marRight w:val="0"/>
          <w:marTop w:val="0"/>
          <w:marBottom w:val="0"/>
          <w:divBdr>
            <w:top w:val="none" w:sz="0" w:space="0" w:color="auto"/>
            <w:left w:val="none" w:sz="0" w:space="0" w:color="auto"/>
            <w:bottom w:val="none" w:sz="0" w:space="0" w:color="auto"/>
            <w:right w:val="none" w:sz="0" w:space="0" w:color="auto"/>
          </w:divBdr>
        </w:div>
        <w:div w:id="1043215094">
          <w:marLeft w:val="0"/>
          <w:marRight w:val="0"/>
          <w:marTop w:val="0"/>
          <w:marBottom w:val="0"/>
          <w:divBdr>
            <w:top w:val="none" w:sz="0" w:space="0" w:color="auto"/>
            <w:left w:val="none" w:sz="0" w:space="0" w:color="auto"/>
            <w:bottom w:val="none" w:sz="0" w:space="0" w:color="auto"/>
            <w:right w:val="none" w:sz="0" w:space="0" w:color="auto"/>
          </w:divBdr>
        </w:div>
        <w:div w:id="1509058281">
          <w:marLeft w:val="0"/>
          <w:marRight w:val="0"/>
          <w:marTop w:val="0"/>
          <w:marBottom w:val="0"/>
          <w:divBdr>
            <w:top w:val="none" w:sz="0" w:space="0" w:color="auto"/>
            <w:left w:val="none" w:sz="0" w:space="0" w:color="auto"/>
            <w:bottom w:val="none" w:sz="0" w:space="0" w:color="auto"/>
            <w:right w:val="none" w:sz="0" w:space="0" w:color="auto"/>
          </w:divBdr>
        </w:div>
      </w:divsChild>
    </w:div>
    <w:div w:id="382797323">
      <w:bodyDiv w:val="1"/>
      <w:marLeft w:val="0"/>
      <w:marRight w:val="0"/>
      <w:marTop w:val="0"/>
      <w:marBottom w:val="0"/>
      <w:divBdr>
        <w:top w:val="none" w:sz="0" w:space="0" w:color="auto"/>
        <w:left w:val="none" w:sz="0" w:space="0" w:color="auto"/>
        <w:bottom w:val="none" w:sz="0" w:space="0" w:color="auto"/>
        <w:right w:val="none" w:sz="0" w:space="0" w:color="auto"/>
      </w:divBdr>
    </w:div>
    <w:div w:id="674067203">
      <w:bodyDiv w:val="1"/>
      <w:marLeft w:val="0"/>
      <w:marRight w:val="0"/>
      <w:marTop w:val="0"/>
      <w:marBottom w:val="0"/>
      <w:divBdr>
        <w:top w:val="none" w:sz="0" w:space="0" w:color="auto"/>
        <w:left w:val="none" w:sz="0" w:space="0" w:color="auto"/>
        <w:bottom w:val="none" w:sz="0" w:space="0" w:color="auto"/>
        <w:right w:val="none" w:sz="0" w:space="0" w:color="auto"/>
      </w:divBdr>
    </w:div>
    <w:div w:id="862939090">
      <w:bodyDiv w:val="1"/>
      <w:marLeft w:val="0"/>
      <w:marRight w:val="0"/>
      <w:marTop w:val="0"/>
      <w:marBottom w:val="0"/>
      <w:divBdr>
        <w:top w:val="none" w:sz="0" w:space="0" w:color="auto"/>
        <w:left w:val="none" w:sz="0" w:space="0" w:color="auto"/>
        <w:bottom w:val="none" w:sz="0" w:space="0" w:color="auto"/>
        <w:right w:val="none" w:sz="0" w:space="0" w:color="auto"/>
      </w:divBdr>
    </w:div>
    <w:div w:id="888996047">
      <w:bodyDiv w:val="1"/>
      <w:marLeft w:val="0"/>
      <w:marRight w:val="0"/>
      <w:marTop w:val="0"/>
      <w:marBottom w:val="0"/>
      <w:divBdr>
        <w:top w:val="none" w:sz="0" w:space="0" w:color="auto"/>
        <w:left w:val="none" w:sz="0" w:space="0" w:color="auto"/>
        <w:bottom w:val="none" w:sz="0" w:space="0" w:color="auto"/>
        <w:right w:val="none" w:sz="0" w:space="0" w:color="auto"/>
      </w:divBdr>
    </w:div>
    <w:div w:id="1185830426">
      <w:bodyDiv w:val="1"/>
      <w:marLeft w:val="0"/>
      <w:marRight w:val="0"/>
      <w:marTop w:val="0"/>
      <w:marBottom w:val="0"/>
      <w:divBdr>
        <w:top w:val="none" w:sz="0" w:space="0" w:color="auto"/>
        <w:left w:val="none" w:sz="0" w:space="0" w:color="auto"/>
        <w:bottom w:val="none" w:sz="0" w:space="0" w:color="auto"/>
        <w:right w:val="none" w:sz="0" w:space="0" w:color="auto"/>
      </w:divBdr>
    </w:div>
    <w:div w:id="1401706792">
      <w:bodyDiv w:val="1"/>
      <w:marLeft w:val="0"/>
      <w:marRight w:val="0"/>
      <w:marTop w:val="0"/>
      <w:marBottom w:val="0"/>
      <w:divBdr>
        <w:top w:val="none" w:sz="0" w:space="0" w:color="auto"/>
        <w:left w:val="none" w:sz="0" w:space="0" w:color="auto"/>
        <w:bottom w:val="none" w:sz="0" w:space="0" w:color="auto"/>
        <w:right w:val="none" w:sz="0" w:space="0" w:color="auto"/>
      </w:divBdr>
    </w:div>
    <w:div w:id="1537279479">
      <w:bodyDiv w:val="1"/>
      <w:marLeft w:val="0"/>
      <w:marRight w:val="0"/>
      <w:marTop w:val="0"/>
      <w:marBottom w:val="0"/>
      <w:divBdr>
        <w:top w:val="none" w:sz="0" w:space="0" w:color="auto"/>
        <w:left w:val="none" w:sz="0" w:space="0" w:color="auto"/>
        <w:bottom w:val="none" w:sz="0" w:space="0" w:color="auto"/>
        <w:right w:val="none" w:sz="0" w:space="0" w:color="auto"/>
      </w:divBdr>
    </w:div>
    <w:div w:id="1566918838">
      <w:bodyDiv w:val="1"/>
      <w:marLeft w:val="0"/>
      <w:marRight w:val="0"/>
      <w:marTop w:val="0"/>
      <w:marBottom w:val="0"/>
      <w:divBdr>
        <w:top w:val="none" w:sz="0" w:space="0" w:color="auto"/>
        <w:left w:val="none" w:sz="0" w:space="0" w:color="auto"/>
        <w:bottom w:val="none" w:sz="0" w:space="0" w:color="auto"/>
        <w:right w:val="none" w:sz="0" w:space="0" w:color="auto"/>
      </w:divBdr>
    </w:div>
    <w:div w:id="1611618971">
      <w:bodyDiv w:val="1"/>
      <w:marLeft w:val="0"/>
      <w:marRight w:val="0"/>
      <w:marTop w:val="0"/>
      <w:marBottom w:val="0"/>
      <w:divBdr>
        <w:top w:val="none" w:sz="0" w:space="0" w:color="auto"/>
        <w:left w:val="none" w:sz="0" w:space="0" w:color="auto"/>
        <w:bottom w:val="none" w:sz="0" w:space="0" w:color="auto"/>
        <w:right w:val="none" w:sz="0" w:space="0" w:color="auto"/>
      </w:divBdr>
    </w:div>
    <w:div w:id="1620378608">
      <w:bodyDiv w:val="1"/>
      <w:marLeft w:val="0"/>
      <w:marRight w:val="0"/>
      <w:marTop w:val="0"/>
      <w:marBottom w:val="0"/>
      <w:divBdr>
        <w:top w:val="none" w:sz="0" w:space="0" w:color="auto"/>
        <w:left w:val="none" w:sz="0" w:space="0" w:color="auto"/>
        <w:bottom w:val="none" w:sz="0" w:space="0" w:color="auto"/>
        <w:right w:val="none" w:sz="0" w:space="0" w:color="auto"/>
      </w:divBdr>
    </w:div>
    <w:div w:id="1624648196">
      <w:bodyDiv w:val="1"/>
      <w:marLeft w:val="0"/>
      <w:marRight w:val="0"/>
      <w:marTop w:val="0"/>
      <w:marBottom w:val="0"/>
      <w:divBdr>
        <w:top w:val="none" w:sz="0" w:space="0" w:color="auto"/>
        <w:left w:val="none" w:sz="0" w:space="0" w:color="auto"/>
        <w:bottom w:val="none" w:sz="0" w:space="0" w:color="auto"/>
        <w:right w:val="none" w:sz="0" w:space="0" w:color="auto"/>
      </w:divBdr>
    </w:div>
    <w:div w:id="1632175768">
      <w:bodyDiv w:val="1"/>
      <w:marLeft w:val="0"/>
      <w:marRight w:val="0"/>
      <w:marTop w:val="0"/>
      <w:marBottom w:val="0"/>
      <w:divBdr>
        <w:top w:val="none" w:sz="0" w:space="0" w:color="auto"/>
        <w:left w:val="none" w:sz="0" w:space="0" w:color="auto"/>
        <w:bottom w:val="none" w:sz="0" w:space="0" w:color="auto"/>
        <w:right w:val="none" w:sz="0" w:space="0" w:color="auto"/>
      </w:divBdr>
    </w:div>
    <w:div w:id="1647322709">
      <w:bodyDiv w:val="1"/>
      <w:marLeft w:val="0"/>
      <w:marRight w:val="0"/>
      <w:marTop w:val="0"/>
      <w:marBottom w:val="0"/>
      <w:divBdr>
        <w:top w:val="none" w:sz="0" w:space="0" w:color="auto"/>
        <w:left w:val="none" w:sz="0" w:space="0" w:color="auto"/>
        <w:bottom w:val="none" w:sz="0" w:space="0" w:color="auto"/>
        <w:right w:val="none" w:sz="0" w:space="0" w:color="auto"/>
      </w:divBdr>
    </w:div>
    <w:div w:id="1692876032">
      <w:bodyDiv w:val="1"/>
      <w:marLeft w:val="0"/>
      <w:marRight w:val="0"/>
      <w:marTop w:val="0"/>
      <w:marBottom w:val="0"/>
      <w:divBdr>
        <w:top w:val="none" w:sz="0" w:space="0" w:color="auto"/>
        <w:left w:val="none" w:sz="0" w:space="0" w:color="auto"/>
        <w:bottom w:val="none" w:sz="0" w:space="0" w:color="auto"/>
        <w:right w:val="none" w:sz="0" w:space="0" w:color="auto"/>
      </w:divBdr>
      <w:divsChild>
        <w:div w:id="653414328">
          <w:marLeft w:val="0"/>
          <w:marRight w:val="0"/>
          <w:marTop w:val="0"/>
          <w:marBottom w:val="0"/>
          <w:divBdr>
            <w:top w:val="none" w:sz="0" w:space="0" w:color="auto"/>
            <w:left w:val="none" w:sz="0" w:space="0" w:color="auto"/>
            <w:bottom w:val="none" w:sz="0" w:space="0" w:color="auto"/>
            <w:right w:val="none" w:sz="0" w:space="0" w:color="auto"/>
          </w:divBdr>
        </w:div>
        <w:div w:id="868642308">
          <w:marLeft w:val="0"/>
          <w:marRight w:val="0"/>
          <w:marTop w:val="0"/>
          <w:marBottom w:val="0"/>
          <w:divBdr>
            <w:top w:val="none" w:sz="0" w:space="0" w:color="auto"/>
            <w:left w:val="none" w:sz="0" w:space="0" w:color="auto"/>
            <w:bottom w:val="none" w:sz="0" w:space="0" w:color="auto"/>
            <w:right w:val="none" w:sz="0" w:space="0" w:color="auto"/>
          </w:divBdr>
        </w:div>
        <w:div w:id="1112824986">
          <w:marLeft w:val="0"/>
          <w:marRight w:val="0"/>
          <w:marTop w:val="0"/>
          <w:marBottom w:val="0"/>
          <w:divBdr>
            <w:top w:val="none" w:sz="0" w:space="0" w:color="auto"/>
            <w:left w:val="none" w:sz="0" w:space="0" w:color="auto"/>
            <w:bottom w:val="none" w:sz="0" w:space="0" w:color="auto"/>
            <w:right w:val="none" w:sz="0" w:space="0" w:color="auto"/>
          </w:divBdr>
        </w:div>
      </w:divsChild>
    </w:div>
    <w:div w:id="1898004916">
      <w:bodyDiv w:val="1"/>
      <w:marLeft w:val="0"/>
      <w:marRight w:val="0"/>
      <w:marTop w:val="0"/>
      <w:marBottom w:val="0"/>
      <w:divBdr>
        <w:top w:val="none" w:sz="0" w:space="0" w:color="auto"/>
        <w:left w:val="none" w:sz="0" w:space="0" w:color="auto"/>
        <w:bottom w:val="none" w:sz="0" w:space="0" w:color="auto"/>
        <w:right w:val="none" w:sz="0" w:space="0" w:color="auto"/>
      </w:divBdr>
    </w:div>
    <w:div w:id="2037997139">
      <w:bodyDiv w:val="1"/>
      <w:marLeft w:val="0"/>
      <w:marRight w:val="0"/>
      <w:marTop w:val="0"/>
      <w:marBottom w:val="0"/>
      <w:divBdr>
        <w:top w:val="none" w:sz="0" w:space="0" w:color="auto"/>
        <w:left w:val="none" w:sz="0" w:space="0" w:color="auto"/>
        <w:bottom w:val="none" w:sz="0" w:space="0" w:color="auto"/>
        <w:right w:val="none" w:sz="0" w:space="0" w:color="auto"/>
      </w:divBdr>
    </w:div>
    <w:div w:id="2080202166">
      <w:bodyDiv w:val="1"/>
      <w:marLeft w:val="0"/>
      <w:marRight w:val="0"/>
      <w:marTop w:val="0"/>
      <w:marBottom w:val="0"/>
      <w:divBdr>
        <w:top w:val="none" w:sz="0" w:space="0" w:color="auto"/>
        <w:left w:val="none" w:sz="0" w:space="0" w:color="auto"/>
        <w:bottom w:val="none" w:sz="0" w:space="0" w:color="auto"/>
        <w:right w:val="none" w:sz="0" w:space="0" w:color="auto"/>
      </w:divBdr>
    </w:div>
    <w:div w:id="2086413082">
      <w:bodyDiv w:val="1"/>
      <w:marLeft w:val="0"/>
      <w:marRight w:val="0"/>
      <w:marTop w:val="0"/>
      <w:marBottom w:val="0"/>
      <w:divBdr>
        <w:top w:val="none" w:sz="0" w:space="0" w:color="auto"/>
        <w:left w:val="none" w:sz="0" w:space="0" w:color="auto"/>
        <w:bottom w:val="none" w:sz="0" w:space="0" w:color="auto"/>
        <w:right w:val="none" w:sz="0" w:space="0" w:color="auto"/>
      </w:divBdr>
    </w:div>
    <w:div w:id="214716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chart" Target="charts/chart8.xml"/><Relationship Id="rId39" Type="http://schemas.openxmlformats.org/officeDocument/2006/relationships/hyperlink" Target="mailto:ufficiostampa@istat.it" TargetMode="External"/><Relationship Id="rId3" Type="http://schemas.openxmlformats.org/officeDocument/2006/relationships/customXml" Target="../customXml/item3.xml"/><Relationship Id="rId21" Type="http://schemas.openxmlformats.org/officeDocument/2006/relationships/chart" Target="charts/chart3.xml"/><Relationship Id="rId34" Type="http://schemas.openxmlformats.org/officeDocument/2006/relationships/hyperlink" Target="https://www.epicentro.iss.it/coronavirus/bollettino/Bollettino-sorveglianza-integrata-COVID-19_26-maggio-2020.pdf" TargetMode="External"/><Relationship Id="rId42"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chart" Target="charts/chart7.xml"/><Relationship Id="rId33" Type="http://schemas.openxmlformats.org/officeDocument/2006/relationships/image" Target="media/image9.emf"/><Relationship Id="rId38" Type="http://schemas.openxmlformats.org/officeDocument/2006/relationships/hyperlink" Target="https://icd.who.int/browse10/2019/en"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chart" Target="charts/chart2.xml"/><Relationship Id="rId29" Type="http://schemas.openxmlformats.org/officeDocument/2006/relationships/chart" Target="charts/chart11.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hart" Target="charts/chart6.xml"/><Relationship Id="rId32" Type="http://schemas.openxmlformats.org/officeDocument/2006/relationships/image" Target="media/image8.emf"/><Relationship Id="rId37" Type="http://schemas.openxmlformats.org/officeDocument/2006/relationships/hyperlink" Target="https://www.epicentro.iss.it/en/coronavirus/bollettino/Infografica_1giugno%20ENG.pdf" TargetMode="External"/><Relationship Id="rId40" Type="http://schemas.openxmlformats.org/officeDocument/2006/relationships/hyperlink" Target="mailto:ufficio.stampa@iss.it"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hyperlink" Target="https://www.epicentro.iss.it/en/coronavirus/bollettino/Infografica_1maggio%20ENG.pdf" TargetMode="External"/><Relationship Id="rId10" Type="http://schemas.openxmlformats.org/officeDocument/2006/relationships/footnotes" Target="footnotes.xml"/><Relationship Id="rId19" Type="http://schemas.openxmlformats.org/officeDocument/2006/relationships/chart" Target="charts/chart1.xml"/><Relationship Id="rId31" Type="http://schemas.openxmlformats.org/officeDocument/2006/relationships/chart" Target="charts/chart13.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hyperlink" Target="https://www.epicentro.iss.it/coronavirus/bollettino/Infografica_1giugno%20ITA.pdf" TargetMode="Externa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istat.it/it/files/2020/05/Rapporto_Istat_ISS.pdf" TargetMode="External"/><Relationship Id="rId1" Type="http://schemas.openxmlformats.org/officeDocument/2006/relationships/hyperlink" Target="http://opendatadpc.maps.arcgis.com/apps/opsdashboard/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emf"/></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enzal\Downloads\grafici%20e%20tabell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enzal\Downloads\grafici%20e%20tabell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enzal\Downloads\grafici%20e%20tabell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enzal\Downloads\grafici%20e%20tabell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enzal\Downloads\grafici%20e%20tabel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nzal\Downloads\grafici%20e%20tabell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nzal\Downloads\grafici%20e%20tabell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nzal\Downloads\grafici%20e%20tabell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nzal\Downloads\grafici%20e%20tabell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nzal\Downloads\grafici%20e%20tabell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nzal\Downloads\grafici%20e%20tabell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nzal\Downloads\grafici%20e%20tabell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nzal\Downloads\grafici%20e%20tabel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'Figura 3'!$B$1</c:f>
              <c:strCache>
                <c:ptCount val="1"/>
                <c:pt idx="0">
                  <c:v>50-59</c:v>
                </c:pt>
              </c:strCache>
            </c:strRef>
          </c:tx>
          <c:spPr>
            <a:ln w="25400" cap="rnd">
              <a:solidFill>
                <a:srgbClr val="7030A0"/>
              </a:solidFill>
              <a:round/>
            </a:ln>
            <a:effectLst/>
          </c:spPr>
          <c:marker>
            <c:symbol val="none"/>
          </c:marker>
          <c:cat>
            <c:numRef>
              <c:f>'Figura 3'!$A$2:$A$72</c:f>
              <c:numCache>
                <c:formatCode>d\-mmm</c:formatCode>
                <c:ptCount val="71"/>
                <c:pt idx="0">
                  <c:v>43881</c:v>
                </c:pt>
                <c:pt idx="1">
                  <c:v>43882</c:v>
                </c:pt>
                <c:pt idx="2">
                  <c:v>43883</c:v>
                </c:pt>
                <c:pt idx="3">
                  <c:v>43884</c:v>
                </c:pt>
                <c:pt idx="4">
                  <c:v>43885</c:v>
                </c:pt>
                <c:pt idx="5">
                  <c:v>43886</c:v>
                </c:pt>
                <c:pt idx="6">
                  <c:v>43887</c:v>
                </c:pt>
                <c:pt idx="7">
                  <c:v>43888</c:v>
                </c:pt>
                <c:pt idx="8">
                  <c:v>43889</c:v>
                </c:pt>
                <c:pt idx="9">
                  <c:v>43890</c:v>
                </c:pt>
                <c:pt idx="10">
                  <c:v>43891</c:v>
                </c:pt>
                <c:pt idx="11">
                  <c:v>43892</c:v>
                </c:pt>
                <c:pt idx="12">
                  <c:v>43893</c:v>
                </c:pt>
                <c:pt idx="13">
                  <c:v>43894</c:v>
                </c:pt>
                <c:pt idx="14">
                  <c:v>43895</c:v>
                </c:pt>
                <c:pt idx="15">
                  <c:v>43896</c:v>
                </c:pt>
                <c:pt idx="16">
                  <c:v>43897</c:v>
                </c:pt>
                <c:pt idx="17">
                  <c:v>43898</c:v>
                </c:pt>
                <c:pt idx="18">
                  <c:v>43899</c:v>
                </c:pt>
                <c:pt idx="19">
                  <c:v>43900</c:v>
                </c:pt>
                <c:pt idx="20">
                  <c:v>43901</c:v>
                </c:pt>
                <c:pt idx="21">
                  <c:v>43902</c:v>
                </c:pt>
                <c:pt idx="22">
                  <c:v>43903</c:v>
                </c:pt>
                <c:pt idx="23">
                  <c:v>43904</c:v>
                </c:pt>
                <c:pt idx="24">
                  <c:v>43905</c:v>
                </c:pt>
                <c:pt idx="25">
                  <c:v>43906</c:v>
                </c:pt>
                <c:pt idx="26">
                  <c:v>43907</c:v>
                </c:pt>
                <c:pt idx="27">
                  <c:v>43908</c:v>
                </c:pt>
                <c:pt idx="28">
                  <c:v>43909</c:v>
                </c:pt>
                <c:pt idx="29">
                  <c:v>43910</c:v>
                </c:pt>
                <c:pt idx="30">
                  <c:v>43911</c:v>
                </c:pt>
                <c:pt idx="31">
                  <c:v>43912</c:v>
                </c:pt>
                <c:pt idx="32">
                  <c:v>43913</c:v>
                </c:pt>
                <c:pt idx="33">
                  <c:v>43914</c:v>
                </c:pt>
                <c:pt idx="34">
                  <c:v>43915</c:v>
                </c:pt>
                <c:pt idx="35">
                  <c:v>43916</c:v>
                </c:pt>
                <c:pt idx="36">
                  <c:v>43917</c:v>
                </c:pt>
                <c:pt idx="37">
                  <c:v>43918</c:v>
                </c:pt>
                <c:pt idx="38">
                  <c:v>43919</c:v>
                </c:pt>
                <c:pt idx="39">
                  <c:v>43920</c:v>
                </c:pt>
                <c:pt idx="40">
                  <c:v>43921</c:v>
                </c:pt>
                <c:pt idx="41">
                  <c:v>43922</c:v>
                </c:pt>
                <c:pt idx="42">
                  <c:v>43923</c:v>
                </c:pt>
                <c:pt idx="43">
                  <c:v>43924</c:v>
                </c:pt>
                <c:pt idx="44">
                  <c:v>43925</c:v>
                </c:pt>
                <c:pt idx="45">
                  <c:v>43926</c:v>
                </c:pt>
                <c:pt idx="46">
                  <c:v>43927</c:v>
                </c:pt>
                <c:pt idx="47">
                  <c:v>43928</c:v>
                </c:pt>
                <c:pt idx="48">
                  <c:v>43929</c:v>
                </c:pt>
                <c:pt idx="49">
                  <c:v>43930</c:v>
                </c:pt>
                <c:pt idx="50">
                  <c:v>43931</c:v>
                </c:pt>
                <c:pt idx="51">
                  <c:v>43932</c:v>
                </c:pt>
                <c:pt idx="52">
                  <c:v>43933</c:v>
                </c:pt>
                <c:pt idx="53">
                  <c:v>43934</c:v>
                </c:pt>
                <c:pt idx="54">
                  <c:v>43935</c:v>
                </c:pt>
                <c:pt idx="55">
                  <c:v>43936</c:v>
                </c:pt>
                <c:pt idx="56">
                  <c:v>43937</c:v>
                </c:pt>
                <c:pt idx="57">
                  <c:v>43938</c:v>
                </c:pt>
                <c:pt idx="58">
                  <c:v>43939</c:v>
                </c:pt>
                <c:pt idx="59">
                  <c:v>43940</c:v>
                </c:pt>
                <c:pt idx="60">
                  <c:v>43941</c:v>
                </c:pt>
                <c:pt idx="61">
                  <c:v>43942</c:v>
                </c:pt>
                <c:pt idx="62">
                  <c:v>43943</c:v>
                </c:pt>
                <c:pt idx="63">
                  <c:v>43944</c:v>
                </c:pt>
                <c:pt idx="64">
                  <c:v>43945</c:v>
                </c:pt>
                <c:pt idx="65">
                  <c:v>43946</c:v>
                </c:pt>
                <c:pt idx="66">
                  <c:v>43947</c:v>
                </c:pt>
                <c:pt idx="67">
                  <c:v>43948</c:v>
                </c:pt>
                <c:pt idx="68">
                  <c:v>43949</c:v>
                </c:pt>
                <c:pt idx="69">
                  <c:v>43950</c:v>
                </c:pt>
                <c:pt idx="70">
                  <c:v>43951</c:v>
                </c:pt>
              </c:numCache>
            </c:numRef>
          </c:cat>
          <c:val>
            <c:numRef>
              <c:f>'Figura 3'!$B$2:$B$72</c:f>
              <c:numCache>
                <c:formatCode>General</c:formatCode>
                <c:ptCount val="71"/>
                <c:pt idx="0">
                  <c:v>94.870680286999999</c:v>
                </c:pt>
                <c:pt idx="1">
                  <c:v>94.395908800000001</c:v>
                </c:pt>
                <c:pt idx="2">
                  <c:v>93.971631205999998</c:v>
                </c:pt>
                <c:pt idx="3">
                  <c:v>94.445578925999996</c:v>
                </c:pt>
                <c:pt idx="4">
                  <c:v>94.151929260000003</c:v>
                </c:pt>
                <c:pt idx="5">
                  <c:v>93.990907293999996</c:v>
                </c:pt>
                <c:pt idx="6">
                  <c:v>94.573492094000002</c:v>
                </c:pt>
                <c:pt idx="7">
                  <c:v>95.517506733000005</c:v>
                </c:pt>
                <c:pt idx="8">
                  <c:v>94.788519636999993</c:v>
                </c:pt>
                <c:pt idx="9">
                  <c:v>96.027113537999995</c:v>
                </c:pt>
                <c:pt idx="10">
                  <c:v>96.531899109999998</c:v>
                </c:pt>
                <c:pt idx="11">
                  <c:v>97.059897735999996</c:v>
                </c:pt>
                <c:pt idx="12">
                  <c:v>97.214734950999997</c:v>
                </c:pt>
                <c:pt idx="13">
                  <c:v>97.234532884000004</c:v>
                </c:pt>
                <c:pt idx="14">
                  <c:v>97.154329609000001</c:v>
                </c:pt>
                <c:pt idx="15">
                  <c:v>97.749527572999995</c:v>
                </c:pt>
                <c:pt idx="16">
                  <c:v>97.952969041000003</c:v>
                </c:pt>
                <c:pt idx="17">
                  <c:v>98.897427329999999</c:v>
                </c:pt>
                <c:pt idx="18">
                  <c:v>99.572086898999999</c:v>
                </c:pt>
                <c:pt idx="19">
                  <c:v>100.52007150999999</c:v>
                </c:pt>
                <c:pt idx="20">
                  <c:v>101.10559205</c:v>
                </c:pt>
                <c:pt idx="21">
                  <c:v>101.64661178</c:v>
                </c:pt>
                <c:pt idx="22">
                  <c:v>102.74294671</c:v>
                </c:pt>
                <c:pt idx="23">
                  <c:v>103.38694710999999</c:v>
                </c:pt>
                <c:pt idx="24">
                  <c:v>103.65108463</c:v>
                </c:pt>
                <c:pt idx="25">
                  <c:v>104.52699654</c:v>
                </c:pt>
                <c:pt idx="26">
                  <c:v>105.30618312</c:v>
                </c:pt>
                <c:pt idx="27">
                  <c:v>106.77542622</c:v>
                </c:pt>
                <c:pt idx="28">
                  <c:v>108.426721</c:v>
                </c:pt>
                <c:pt idx="29">
                  <c:v>109.24248958</c:v>
                </c:pt>
                <c:pt idx="30">
                  <c:v>110.92973739999999</c:v>
                </c:pt>
                <c:pt idx="31">
                  <c:v>113.00744487</c:v>
                </c:pt>
                <c:pt idx="32">
                  <c:v>114.61517087999999</c:v>
                </c:pt>
                <c:pt idx="33">
                  <c:v>115.88631058999999</c:v>
                </c:pt>
                <c:pt idx="34">
                  <c:v>118.63370909</c:v>
                </c:pt>
                <c:pt idx="35">
                  <c:v>119.69189550999999</c:v>
                </c:pt>
                <c:pt idx="36">
                  <c:v>120.36546610000001</c:v>
                </c:pt>
                <c:pt idx="37">
                  <c:v>121.80913732</c:v>
                </c:pt>
                <c:pt idx="38">
                  <c:v>122.10430956</c:v>
                </c:pt>
                <c:pt idx="39">
                  <c:v>123.72057318</c:v>
                </c:pt>
                <c:pt idx="40">
                  <c:v>124.76214639</c:v>
                </c:pt>
                <c:pt idx="41">
                  <c:v>124.90584986</c:v>
                </c:pt>
                <c:pt idx="42">
                  <c:v>125.57618039</c:v>
                </c:pt>
                <c:pt idx="43">
                  <c:v>125.61546036</c:v>
                </c:pt>
                <c:pt idx="44">
                  <c:v>125.89928058</c:v>
                </c:pt>
                <c:pt idx="45">
                  <c:v>126.26628075000001</c:v>
                </c:pt>
                <c:pt idx="46">
                  <c:v>126.52402582000001</c:v>
                </c:pt>
                <c:pt idx="47">
                  <c:v>126.86478807</c:v>
                </c:pt>
                <c:pt idx="48">
                  <c:v>128.11032864000001</c:v>
                </c:pt>
                <c:pt idx="49">
                  <c:v>128.28106851999999</c:v>
                </c:pt>
                <c:pt idx="50">
                  <c:v>128.41026822000001</c:v>
                </c:pt>
                <c:pt idx="51">
                  <c:v>128.59260949</c:v>
                </c:pt>
                <c:pt idx="52">
                  <c:v>128.45537628</c:v>
                </c:pt>
                <c:pt idx="53">
                  <c:v>128.75488554</c:v>
                </c:pt>
                <c:pt idx="54">
                  <c:v>128.28438949</c:v>
                </c:pt>
                <c:pt idx="55">
                  <c:v>128.19392880999999</c:v>
                </c:pt>
                <c:pt idx="56">
                  <c:v>127.7332756</c:v>
                </c:pt>
                <c:pt idx="57">
                  <c:v>127.73722628</c:v>
                </c:pt>
                <c:pt idx="58">
                  <c:v>127.40819585</c:v>
                </c:pt>
                <c:pt idx="59">
                  <c:v>127.74261602999999</c:v>
                </c:pt>
                <c:pt idx="60">
                  <c:v>127.5083612</c:v>
                </c:pt>
                <c:pt idx="61">
                  <c:v>126.96768848000001</c:v>
                </c:pt>
                <c:pt idx="62">
                  <c:v>126.81047766</c:v>
                </c:pt>
                <c:pt idx="63">
                  <c:v>127.05294298</c:v>
                </c:pt>
                <c:pt idx="64">
                  <c:v>127.12722853</c:v>
                </c:pt>
                <c:pt idx="65">
                  <c:v>127.07348949</c:v>
                </c:pt>
                <c:pt idx="66">
                  <c:v>126.79497406999999</c:v>
                </c:pt>
                <c:pt idx="67">
                  <c:v>126.73061709</c:v>
                </c:pt>
                <c:pt idx="68">
                  <c:v>126.57047507</c:v>
                </c:pt>
                <c:pt idx="69">
                  <c:v>126.523647</c:v>
                </c:pt>
                <c:pt idx="70">
                  <c:v>126.28267183</c:v>
                </c:pt>
              </c:numCache>
            </c:numRef>
          </c:val>
          <c:smooth val="0"/>
          <c:extLst xmlns:c16r2="http://schemas.microsoft.com/office/drawing/2015/06/chart">
            <c:ext xmlns:c16="http://schemas.microsoft.com/office/drawing/2014/chart" uri="{C3380CC4-5D6E-409C-BE32-E72D297353CC}">
              <c16:uniqueId val="{00000000-9231-49D6-81C0-F1B57614BE4A}"/>
            </c:ext>
          </c:extLst>
        </c:ser>
        <c:ser>
          <c:idx val="1"/>
          <c:order val="1"/>
          <c:tx>
            <c:strRef>
              <c:f>'Figura 3'!$C$1</c:f>
              <c:strCache>
                <c:ptCount val="1"/>
                <c:pt idx="0">
                  <c:v>60-69</c:v>
                </c:pt>
              </c:strCache>
            </c:strRef>
          </c:tx>
          <c:spPr>
            <a:ln w="25400" cap="rnd">
              <a:solidFill>
                <a:srgbClr val="FFC000"/>
              </a:solidFill>
              <a:round/>
            </a:ln>
            <a:effectLst/>
          </c:spPr>
          <c:marker>
            <c:symbol val="none"/>
          </c:marker>
          <c:cat>
            <c:numRef>
              <c:f>'Figura 3'!$A$2:$A$72</c:f>
              <c:numCache>
                <c:formatCode>d\-mmm</c:formatCode>
                <c:ptCount val="71"/>
                <c:pt idx="0">
                  <c:v>43881</c:v>
                </c:pt>
                <c:pt idx="1">
                  <c:v>43882</c:v>
                </c:pt>
                <c:pt idx="2">
                  <c:v>43883</c:v>
                </c:pt>
                <c:pt idx="3">
                  <c:v>43884</c:v>
                </c:pt>
                <c:pt idx="4">
                  <c:v>43885</c:v>
                </c:pt>
                <c:pt idx="5">
                  <c:v>43886</c:v>
                </c:pt>
                <c:pt idx="6">
                  <c:v>43887</c:v>
                </c:pt>
                <c:pt idx="7">
                  <c:v>43888</c:v>
                </c:pt>
                <c:pt idx="8">
                  <c:v>43889</c:v>
                </c:pt>
                <c:pt idx="9">
                  <c:v>43890</c:v>
                </c:pt>
                <c:pt idx="10">
                  <c:v>43891</c:v>
                </c:pt>
                <c:pt idx="11">
                  <c:v>43892</c:v>
                </c:pt>
                <c:pt idx="12">
                  <c:v>43893</c:v>
                </c:pt>
                <c:pt idx="13">
                  <c:v>43894</c:v>
                </c:pt>
                <c:pt idx="14">
                  <c:v>43895</c:v>
                </c:pt>
                <c:pt idx="15">
                  <c:v>43896</c:v>
                </c:pt>
                <c:pt idx="16">
                  <c:v>43897</c:v>
                </c:pt>
                <c:pt idx="17">
                  <c:v>43898</c:v>
                </c:pt>
                <c:pt idx="18">
                  <c:v>43899</c:v>
                </c:pt>
                <c:pt idx="19">
                  <c:v>43900</c:v>
                </c:pt>
                <c:pt idx="20">
                  <c:v>43901</c:v>
                </c:pt>
                <c:pt idx="21">
                  <c:v>43902</c:v>
                </c:pt>
                <c:pt idx="22">
                  <c:v>43903</c:v>
                </c:pt>
                <c:pt idx="23">
                  <c:v>43904</c:v>
                </c:pt>
                <c:pt idx="24">
                  <c:v>43905</c:v>
                </c:pt>
                <c:pt idx="25">
                  <c:v>43906</c:v>
                </c:pt>
                <c:pt idx="26">
                  <c:v>43907</c:v>
                </c:pt>
                <c:pt idx="27">
                  <c:v>43908</c:v>
                </c:pt>
                <c:pt idx="28">
                  <c:v>43909</c:v>
                </c:pt>
                <c:pt idx="29">
                  <c:v>43910</c:v>
                </c:pt>
                <c:pt idx="30">
                  <c:v>43911</c:v>
                </c:pt>
                <c:pt idx="31">
                  <c:v>43912</c:v>
                </c:pt>
                <c:pt idx="32">
                  <c:v>43913</c:v>
                </c:pt>
                <c:pt idx="33">
                  <c:v>43914</c:v>
                </c:pt>
                <c:pt idx="34">
                  <c:v>43915</c:v>
                </c:pt>
                <c:pt idx="35">
                  <c:v>43916</c:v>
                </c:pt>
                <c:pt idx="36">
                  <c:v>43917</c:v>
                </c:pt>
                <c:pt idx="37">
                  <c:v>43918</c:v>
                </c:pt>
                <c:pt idx="38">
                  <c:v>43919</c:v>
                </c:pt>
                <c:pt idx="39">
                  <c:v>43920</c:v>
                </c:pt>
                <c:pt idx="40">
                  <c:v>43921</c:v>
                </c:pt>
                <c:pt idx="41">
                  <c:v>43922</c:v>
                </c:pt>
                <c:pt idx="42">
                  <c:v>43923</c:v>
                </c:pt>
                <c:pt idx="43">
                  <c:v>43924</c:v>
                </c:pt>
                <c:pt idx="44">
                  <c:v>43925</c:v>
                </c:pt>
                <c:pt idx="45">
                  <c:v>43926</c:v>
                </c:pt>
                <c:pt idx="46">
                  <c:v>43927</c:v>
                </c:pt>
                <c:pt idx="47">
                  <c:v>43928</c:v>
                </c:pt>
                <c:pt idx="48">
                  <c:v>43929</c:v>
                </c:pt>
                <c:pt idx="49">
                  <c:v>43930</c:v>
                </c:pt>
                <c:pt idx="50">
                  <c:v>43931</c:v>
                </c:pt>
                <c:pt idx="51">
                  <c:v>43932</c:v>
                </c:pt>
                <c:pt idx="52">
                  <c:v>43933</c:v>
                </c:pt>
                <c:pt idx="53">
                  <c:v>43934</c:v>
                </c:pt>
                <c:pt idx="54">
                  <c:v>43935</c:v>
                </c:pt>
                <c:pt idx="55">
                  <c:v>43936</c:v>
                </c:pt>
                <c:pt idx="56">
                  <c:v>43937</c:v>
                </c:pt>
                <c:pt idx="57">
                  <c:v>43938</c:v>
                </c:pt>
                <c:pt idx="58">
                  <c:v>43939</c:v>
                </c:pt>
                <c:pt idx="59">
                  <c:v>43940</c:v>
                </c:pt>
                <c:pt idx="60">
                  <c:v>43941</c:v>
                </c:pt>
                <c:pt idx="61">
                  <c:v>43942</c:v>
                </c:pt>
                <c:pt idx="62">
                  <c:v>43943</c:v>
                </c:pt>
                <c:pt idx="63">
                  <c:v>43944</c:v>
                </c:pt>
                <c:pt idx="64">
                  <c:v>43945</c:v>
                </c:pt>
                <c:pt idx="65">
                  <c:v>43946</c:v>
                </c:pt>
                <c:pt idx="66">
                  <c:v>43947</c:v>
                </c:pt>
                <c:pt idx="67">
                  <c:v>43948</c:v>
                </c:pt>
                <c:pt idx="68">
                  <c:v>43949</c:v>
                </c:pt>
                <c:pt idx="69">
                  <c:v>43950</c:v>
                </c:pt>
                <c:pt idx="70">
                  <c:v>43951</c:v>
                </c:pt>
              </c:numCache>
            </c:numRef>
          </c:cat>
          <c:val>
            <c:numRef>
              <c:f>'Figura 3'!$C$2:$C$72</c:f>
              <c:numCache>
                <c:formatCode>General</c:formatCode>
                <c:ptCount val="71"/>
                <c:pt idx="0">
                  <c:v>86.600351083000007</c:v>
                </c:pt>
                <c:pt idx="1">
                  <c:v>86.302416659000002</c:v>
                </c:pt>
                <c:pt idx="2">
                  <c:v>86.515905039000003</c:v>
                </c:pt>
                <c:pt idx="3">
                  <c:v>85.972017672999996</c:v>
                </c:pt>
                <c:pt idx="4">
                  <c:v>86.269359659000003</c:v>
                </c:pt>
                <c:pt idx="5">
                  <c:v>86.202295168999996</c:v>
                </c:pt>
                <c:pt idx="6">
                  <c:v>86.072739990000002</c:v>
                </c:pt>
                <c:pt idx="7">
                  <c:v>85.575517923000007</c:v>
                </c:pt>
                <c:pt idx="8">
                  <c:v>86.059683828000004</c:v>
                </c:pt>
                <c:pt idx="9">
                  <c:v>87.412587412999997</c:v>
                </c:pt>
                <c:pt idx="10">
                  <c:v>87.487578667999998</c:v>
                </c:pt>
                <c:pt idx="11">
                  <c:v>87.429689410999998</c:v>
                </c:pt>
                <c:pt idx="12">
                  <c:v>88.058143270000002</c:v>
                </c:pt>
                <c:pt idx="13">
                  <c:v>87.997783232000003</c:v>
                </c:pt>
                <c:pt idx="14">
                  <c:v>88.500739127000003</c:v>
                </c:pt>
                <c:pt idx="15">
                  <c:v>89.440564807000001</c:v>
                </c:pt>
                <c:pt idx="16">
                  <c:v>90.033247695</c:v>
                </c:pt>
                <c:pt idx="17">
                  <c:v>90.878579951999996</c:v>
                </c:pt>
                <c:pt idx="18">
                  <c:v>91.710758377000005</c:v>
                </c:pt>
                <c:pt idx="19">
                  <c:v>92.320497973000002</c:v>
                </c:pt>
                <c:pt idx="20">
                  <c:v>93.294252216000004</c:v>
                </c:pt>
                <c:pt idx="21">
                  <c:v>94.391534391999997</c:v>
                </c:pt>
                <c:pt idx="22">
                  <c:v>95.645520312000002</c:v>
                </c:pt>
                <c:pt idx="23">
                  <c:v>97.093382808000001</c:v>
                </c:pt>
                <c:pt idx="24">
                  <c:v>98.413451758999997</c:v>
                </c:pt>
                <c:pt idx="25">
                  <c:v>100.42921333</c:v>
                </c:pt>
                <c:pt idx="26">
                  <c:v>102.62442839000001</c:v>
                </c:pt>
                <c:pt idx="27">
                  <c:v>104.33843738</c:v>
                </c:pt>
                <c:pt idx="28">
                  <c:v>107.29544278</c:v>
                </c:pt>
                <c:pt idx="29">
                  <c:v>109.6</c:v>
                </c:pt>
                <c:pt idx="30">
                  <c:v>111.80261578</c:v>
                </c:pt>
                <c:pt idx="31">
                  <c:v>114.54033771</c:v>
                </c:pt>
                <c:pt idx="32">
                  <c:v>116.88633129</c:v>
                </c:pt>
                <c:pt idx="33">
                  <c:v>119.19191918999999</c:v>
                </c:pt>
                <c:pt idx="34">
                  <c:v>121.10558856</c:v>
                </c:pt>
                <c:pt idx="35">
                  <c:v>123.67364067</c:v>
                </c:pt>
                <c:pt idx="36">
                  <c:v>125.52561445000001</c:v>
                </c:pt>
                <c:pt idx="37">
                  <c:v>127.37920937</c:v>
                </c:pt>
                <c:pt idx="38">
                  <c:v>128.97239619999999</c:v>
                </c:pt>
                <c:pt idx="39">
                  <c:v>130.12794767</c:v>
                </c:pt>
                <c:pt idx="40">
                  <c:v>131.57595405000001</c:v>
                </c:pt>
                <c:pt idx="41">
                  <c:v>132.13018751000001</c:v>
                </c:pt>
                <c:pt idx="42">
                  <c:v>133.36306869000001</c:v>
                </c:pt>
                <c:pt idx="43">
                  <c:v>133.95320605000001</c:v>
                </c:pt>
                <c:pt idx="44">
                  <c:v>134.6490269</c:v>
                </c:pt>
                <c:pt idx="45">
                  <c:v>135.13147928000001</c:v>
                </c:pt>
                <c:pt idx="46">
                  <c:v>135.66140971999999</c:v>
                </c:pt>
                <c:pt idx="47">
                  <c:v>136.53754185</c:v>
                </c:pt>
                <c:pt idx="48">
                  <c:v>137.11758201000001</c:v>
                </c:pt>
                <c:pt idx="49">
                  <c:v>137.56972318999999</c:v>
                </c:pt>
                <c:pt idx="50">
                  <c:v>137.86774209999999</c:v>
                </c:pt>
                <c:pt idx="51">
                  <c:v>138.37137885000001</c:v>
                </c:pt>
                <c:pt idx="52">
                  <c:v>138.50991529999999</c:v>
                </c:pt>
                <c:pt idx="53">
                  <c:v>138.77028181</c:v>
                </c:pt>
                <c:pt idx="54">
                  <c:v>138.92343664000001</c:v>
                </c:pt>
                <c:pt idx="55">
                  <c:v>139.08476748999999</c:v>
                </c:pt>
                <c:pt idx="56">
                  <c:v>139.15509485999999</c:v>
                </c:pt>
                <c:pt idx="57">
                  <c:v>139.20523383</c:v>
                </c:pt>
                <c:pt idx="58">
                  <c:v>139.22378595999999</c:v>
                </c:pt>
                <c:pt idx="59">
                  <c:v>139.36576061</c:v>
                </c:pt>
                <c:pt idx="60">
                  <c:v>139.14481455000001</c:v>
                </c:pt>
                <c:pt idx="61">
                  <c:v>139.14430475</c:v>
                </c:pt>
                <c:pt idx="62">
                  <c:v>139.04788496</c:v>
                </c:pt>
                <c:pt idx="63">
                  <c:v>138.75807940999999</c:v>
                </c:pt>
                <c:pt idx="64">
                  <c:v>138.11244796</c:v>
                </c:pt>
                <c:pt idx="65">
                  <c:v>137.97330428000001</c:v>
                </c:pt>
                <c:pt idx="66">
                  <c:v>137.84404703000001</c:v>
                </c:pt>
                <c:pt idx="67">
                  <c:v>137.68828499</c:v>
                </c:pt>
                <c:pt idx="68">
                  <c:v>137.50553833000001</c:v>
                </c:pt>
                <c:pt idx="69">
                  <c:v>137.25102229000001</c:v>
                </c:pt>
                <c:pt idx="70">
                  <c:v>137.06825029000001</c:v>
                </c:pt>
              </c:numCache>
            </c:numRef>
          </c:val>
          <c:smooth val="0"/>
          <c:extLst xmlns:c16r2="http://schemas.microsoft.com/office/drawing/2015/06/chart">
            <c:ext xmlns:c16="http://schemas.microsoft.com/office/drawing/2014/chart" uri="{C3380CC4-5D6E-409C-BE32-E72D297353CC}">
              <c16:uniqueId val="{00000001-9231-49D6-81C0-F1B57614BE4A}"/>
            </c:ext>
          </c:extLst>
        </c:ser>
        <c:ser>
          <c:idx val="2"/>
          <c:order val="2"/>
          <c:tx>
            <c:strRef>
              <c:f>'Figura 3'!$D$1</c:f>
              <c:strCache>
                <c:ptCount val="1"/>
                <c:pt idx="0">
                  <c:v>70-79</c:v>
                </c:pt>
              </c:strCache>
            </c:strRef>
          </c:tx>
          <c:spPr>
            <a:ln w="25400" cap="rnd">
              <a:solidFill>
                <a:srgbClr val="00B0F0"/>
              </a:solidFill>
              <a:round/>
            </a:ln>
            <a:effectLst/>
          </c:spPr>
          <c:marker>
            <c:symbol val="none"/>
          </c:marker>
          <c:cat>
            <c:numRef>
              <c:f>'Figura 3'!$A$2:$A$72</c:f>
              <c:numCache>
                <c:formatCode>d\-mmm</c:formatCode>
                <c:ptCount val="71"/>
                <c:pt idx="0">
                  <c:v>43881</c:v>
                </c:pt>
                <c:pt idx="1">
                  <c:v>43882</c:v>
                </c:pt>
                <c:pt idx="2">
                  <c:v>43883</c:v>
                </c:pt>
                <c:pt idx="3">
                  <c:v>43884</c:v>
                </c:pt>
                <c:pt idx="4">
                  <c:v>43885</c:v>
                </c:pt>
                <c:pt idx="5">
                  <c:v>43886</c:v>
                </c:pt>
                <c:pt idx="6">
                  <c:v>43887</c:v>
                </c:pt>
                <c:pt idx="7">
                  <c:v>43888</c:v>
                </c:pt>
                <c:pt idx="8">
                  <c:v>43889</c:v>
                </c:pt>
                <c:pt idx="9">
                  <c:v>43890</c:v>
                </c:pt>
                <c:pt idx="10">
                  <c:v>43891</c:v>
                </c:pt>
                <c:pt idx="11">
                  <c:v>43892</c:v>
                </c:pt>
                <c:pt idx="12">
                  <c:v>43893</c:v>
                </c:pt>
                <c:pt idx="13">
                  <c:v>43894</c:v>
                </c:pt>
                <c:pt idx="14">
                  <c:v>43895</c:v>
                </c:pt>
                <c:pt idx="15">
                  <c:v>43896</c:v>
                </c:pt>
                <c:pt idx="16">
                  <c:v>43897</c:v>
                </c:pt>
                <c:pt idx="17">
                  <c:v>43898</c:v>
                </c:pt>
                <c:pt idx="18">
                  <c:v>43899</c:v>
                </c:pt>
                <c:pt idx="19">
                  <c:v>43900</c:v>
                </c:pt>
                <c:pt idx="20">
                  <c:v>43901</c:v>
                </c:pt>
                <c:pt idx="21">
                  <c:v>43902</c:v>
                </c:pt>
                <c:pt idx="22">
                  <c:v>43903</c:v>
                </c:pt>
                <c:pt idx="23">
                  <c:v>43904</c:v>
                </c:pt>
                <c:pt idx="24">
                  <c:v>43905</c:v>
                </c:pt>
                <c:pt idx="25">
                  <c:v>43906</c:v>
                </c:pt>
                <c:pt idx="26">
                  <c:v>43907</c:v>
                </c:pt>
                <c:pt idx="27">
                  <c:v>43908</c:v>
                </c:pt>
                <c:pt idx="28">
                  <c:v>43909</c:v>
                </c:pt>
                <c:pt idx="29">
                  <c:v>43910</c:v>
                </c:pt>
                <c:pt idx="30">
                  <c:v>43911</c:v>
                </c:pt>
                <c:pt idx="31">
                  <c:v>43912</c:v>
                </c:pt>
                <c:pt idx="32">
                  <c:v>43913</c:v>
                </c:pt>
                <c:pt idx="33">
                  <c:v>43914</c:v>
                </c:pt>
                <c:pt idx="34">
                  <c:v>43915</c:v>
                </c:pt>
                <c:pt idx="35">
                  <c:v>43916</c:v>
                </c:pt>
                <c:pt idx="36">
                  <c:v>43917</c:v>
                </c:pt>
                <c:pt idx="37">
                  <c:v>43918</c:v>
                </c:pt>
                <c:pt idx="38">
                  <c:v>43919</c:v>
                </c:pt>
                <c:pt idx="39">
                  <c:v>43920</c:v>
                </c:pt>
                <c:pt idx="40">
                  <c:v>43921</c:v>
                </c:pt>
                <c:pt idx="41">
                  <c:v>43922</c:v>
                </c:pt>
                <c:pt idx="42">
                  <c:v>43923</c:v>
                </c:pt>
                <c:pt idx="43">
                  <c:v>43924</c:v>
                </c:pt>
                <c:pt idx="44">
                  <c:v>43925</c:v>
                </c:pt>
                <c:pt idx="45">
                  <c:v>43926</c:v>
                </c:pt>
                <c:pt idx="46">
                  <c:v>43927</c:v>
                </c:pt>
                <c:pt idx="47">
                  <c:v>43928</c:v>
                </c:pt>
                <c:pt idx="48">
                  <c:v>43929</c:v>
                </c:pt>
                <c:pt idx="49">
                  <c:v>43930</c:v>
                </c:pt>
                <c:pt idx="50">
                  <c:v>43931</c:v>
                </c:pt>
                <c:pt idx="51">
                  <c:v>43932</c:v>
                </c:pt>
                <c:pt idx="52">
                  <c:v>43933</c:v>
                </c:pt>
                <c:pt idx="53">
                  <c:v>43934</c:v>
                </c:pt>
                <c:pt idx="54">
                  <c:v>43935</c:v>
                </c:pt>
                <c:pt idx="55">
                  <c:v>43936</c:v>
                </c:pt>
                <c:pt idx="56">
                  <c:v>43937</c:v>
                </c:pt>
                <c:pt idx="57">
                  <c:v>43938</c:v>
                </c:pt>
                <c:pt idx="58">
                  <c:v>43939</c:v>
                </c:pt>
                <c:pt idx="59">
                  <c:v>43940</c:v>
                </c:pt>
                <c:pt idx="60">
                  <c:v>43941</c:v>
                </c:pt>
                <c:pt idx="61">
                  <c:v>43942</c:v>
                </c:pt>
                <c:pt idx="62">
                  <c:v>43943</c:v>
                </c:pt>
                <c:pt idx="63">
                  <c:v>43944</c:v>
                </c:pt>
                <c:pt idx="64">
                  <c:v>43945</c:v>
                </c:pt>
                <c:pt idx="65">
                  <c:v>43946</c:v>
                </c:pt>
                <c:pt idx="66">
                  <c:v>43947</c:v>
                </c:pt>
                <c:pt idx="67">
                  <c:v>43948</c:v>
                </c:pt>
                <c:pt idx="68">
                  <c:v>43949</c:v>
                </c:pt>
                <c:pt idx="69">
                  <c:v>43950</c:v>
                </c:pt>
                <c:pt idx="70">
                  <c:v>43951</c:v>
                </c:pt>
              </c:numCache>
            </c:numRef>
          </c:cat>
          <c:val>
            <c:numRef>
              <c:f>'Figura 3'!$D$2:$D$72</c:f>
              <c:numCache>
                <c:formatCode>General</c:formatCode>
                <c:ptCount val="71"/>
                <c:pt idx="0">
                  <c:v>87.357177253000003</c:v>
                </c:pt>
                <c:pt idx="1">
                  <c:v>87.644172835000006</c:v>
                </c:pt>
                <c:pt idx="2">
                  <c:v>87.679228523999996</c:v>
                </c:pt>
                <c:pt idx="3">
                  <c:v>87.705429581999994</c:v>
                </c:pt>
                <c:pt idx="4">
                  <c:v>87.844739529999998</c:v>
                </c:pt>
                <c:pt idx="5">
                  <c:v>87.984900811000003</c:v>
                </c:pt>
                <c:pt idx="6">
                  <c:v>87.949618983999997</c:v>
                </c:pt>
                <c:pt idx="7">
                  <c:v>88.269589551999999</c:v>
                </c:pt>
                <c:pt idx="8">
                  <c:v>88.599137107999994</c:v>
                </c:pt>
                <c:pt idx="9">
                  <c:v>89.855348305999996</c:v>
                </c:pt>
                <c:pt idx="10">
                  <c:v>90.008242170000003</c:v>
                </c:pt>
                <c:pt idx="11">
                  <c:v>90.329240866000006</c:v>
                </c:pt>
                <c:pt idx="12">
                  <c:v>90.686274510000004</c:v>
                </c:pt>
                <c:pt idx="13">
                  <c:v>91.143040960999997</c:v>
                </c:pt>
                <c:pt idx="14">
                  <c:v>91.597141550000003</c:v>
                </c:pt>
                <c:pt idx="15">
                  <c:v>92.488360780999997</c:v>
                </c:pt>
                <c:pt idx="16">
                  <c:v>93.383814157000003</c:v>
                </c:pt>
                <c:pt idx="17">
                  <c:v>94.631575390999998</c:v>
                </c:pt>
                <c:pt idx="18">
                  <c:v>95.896803439999999</c:v>
                </c:pt>
                <c:pt idx="19">
                  <c:v>97.471143411</c:v>
                </c:pt>
                <c:pt idx="20">
                  <c:v>99.27246744</c:v>
                </c:pt>
                <c:pt idx="21">
                  <c:v>101.31452389</c:v>
                </c:pt>
                <c:pt idx="22">
                  <c:v>103.08544304</c:v>
                </c:pt>
                <c:pt idx="23">
                  <c:v>105.28943673000001</c:v>
                </c:pt>
                <c:pt idx="24">
                  <c:v>107.24517143</c:v>
                </c:pt>
                <c:pt idx="25">
                  <c:v>109.94915822</c:v>
                </c:pt>
                <c:pt idx="26">
                  <c:v>112.41998977999999</c:v>
                </c:pt>
                <c:pt idx="27">
                  <c:v>115.2099044</c:v>
                </c:pt>
                <c:pt idx="28">
                  <c:v>118.25811374</c:v>
                </c:pt>
                <c:pt idx="29">
                  <c:v>121.14396819</c:v>
                </c:pt>
                <c:pt idx="30">
                  <c:v>124.70919378000001</c:v>
                </c:pt>
                <c:pt idx="31">
                  <c:v>127.47827074999999</c:v>
                </c:pt>
                <c:pt idx="32">
                  <c:v>130.63379293</c:v>
                </c:pt>
                <c:pt idx="33">
                  <c:v>133.65675999000001</c:v>
                </c:pt>
                <c:pt idx="34">
                  <c:v>136.60765906</c:v>
                </c:pt>
                <c:pt idx="35">
                  <c:v>139.01528569000001</c:v>
                </c:pt>
                <c:pt idx="36">
                  <c:v>141.52572090999999</c:v>
                </c:pt>
                <c:pt idx="37">
                  <c:v>143.64500708</c:v>
                </c:pt>
                <c:pt idx="38">
                  <c:v>145.45502604000001</c:v>
                </c:pt>
                <c:pt idx="39">
                  <c:v>146.87418258</c:v>
                </c:pt>
                <c:pt idx="40">
                  <c:v>148.38910344000001</c:v>
                </c:pt>
                <c:pt idx="41">
                  <c:v>149.65619869</c:v>
                </c:pt>
                <c:pt idx="42">
                  <c:v>150.43562194</c:v>
                </c:pt>
                <c:pt idx="43">
                  <c:v>151.45494328999999</c:v>
                </c:pt>
                <c:pt idx="44">
                  <c:v>152.02559697000001</c:v>
                </c:pt>
                <c:pt idx="45">
                  <c:v>152.39561522</c:v>
                </c:pt>
                <c:pt idx="46">
                  <c:v>152.83064909999999</c:v>
                </c:pt>
                <c:pt idx="47">
                  <c:v>153.17940039000001</c:v>
                </c:pt>
                <c:pt idx="48">
                  <c:v>153.98820086999999</c:v>
                </c:pt>
                <c:pt idx="49">
                  <c:v>154.62410571999999</c:v>
                </c:pt>
                <c:pt idx="50">
                  <c:v>154.91166078000001</c:v>
                </c:pt>
                <c:pt idx="51">
                  <c:v>155.15348316000001</c:v>
                </c:pt>
                <c:pt idx="52">
                  <c:v>155.1233067</c:v>
                </c:pt>
                <c:pt idx="53">
                  <c:v>155.16094247999999</c:v>
                </c:pt>
                <c:pt idx="54">
                  <c:v>155.45291133000001</c:v>
                </c:pt>
                <c:pt idx="55">
                  <c:v>155.50843634</c:v>
                </c:pt>
                <c:pt idx="56">
                  <c:v>155.43519617000001</c:v>
                </c:pt>
                <c:pt idx="57">
                  <c:v>155.51954538000001</c:v>
                </c:pt>
                <c:pt idx="58">
                  <c:v>155.60056358</c:v>
                </c:pt>
                <c:pt idx="59">
                  <c:v>155.22397834</c:v>
                </c:pt>
                <c:pt idx="60">
                  <c:v>155.01299263999999</c:v>
                </c:pt>
                <c:pt idx="61">
                  <c:v>154.68266919000001</c:v>
                </c:pt>
                <c:pt idx="62">
                  <c:v>154.32295993</c:v>
                </c:pt>
                <c:pt idx="63">
                  <c:v>153.90382463</c:v>
                </c:pt>
                <c:pt idx="64">
                  <c:v>153.55196982000001</c:v>
                </c:pt>
                <c:pt idx="65">
                  <c:v>153.38048678999999</c:v>
                </c:pt>
                <c:pt idx="66">
                  <c:v>153.12274181999999</c:v>
                </c:pt>
                <c:pt idx="67">
                  <c:v>152.69326121</c:v>
                </c:pt>
                <c:pt idx="68">
                  <c:v>152.34955328999999</c:v>
                </c:pt>
                <c:pt idx="69">
                  <c:v>152.1352493</c:v>
                </c:pt>
                <c:pt idx="70">
                  <c:v>151.69666687</c:v>
                </c:pt>
              </c:numCache>
            </c:numRef>
          </c:val>
          <c:smooth val="0"/>
          <c:extLst xmlns:c16r2="http://schemas.microsoft.com/office/drawing/2015/06/chart">
            <c:ext xmlns:c16="http://schemas.microsoft.com/office/drawing/2014/chart" uri="{C3380CC4-5D6E-409C-BE32-E72D297353CC}">
              <c16:uniqueId val="{00000002-9231-49D6-81C0-F1B57614BE4A}"/>
            </c:ext>
          </c:extLst>
        </c:ser>
        <c:ser>
          <c:idx val="3"/>
          <c:order val="3"/>
          <c:tx>
            <c:strRef>
              <c:f>'Figura 3'!$E$1</c:f>
              <c:strCache>
                <c:ptCount val="1"/>
                <c:pt idx="0">
                  <c:v>80-89</c:v>
                </c:pt>
              </c:strCache>
            </c:strRef>
          </c:tx>
          <c:spPr>
            <a:ln w="25400" cap="rnd">
              <a:solidFill>
                <a:srgbClr val="92D050"/>
              </a:solidFill>
              <a:round/>
            </a:ln>
            <a:effectLst/>
          </c:spPr>
          <c:marker>
            <c:symbol val="none"/>
          </c:marker>
          <c:cat>
            <c:numRef>
              <c:f>'Figura 3'!$A$2:$A$72</c:f>
              <c:numCache>
                <c:formatCode>d\-mmm</c:formatCode>
                <c:ptCount val="71"/>
                <c:pt idx="0">
                  <c:v>43881</c:v>
                </c:pt>
                <c:pt idx="1">
                  <c:v>43882</c:v>
                </c:pt>
                <c:pt idx="2">
                  <c:v>43883</c:v>
                </c:pt>
                <c:pt idx="3">
                  <c:v>43884</c:v>
                </c:pt>
                <c:pt idx="4">
                  <c:v>43885</c:v>
                </c:pt>
                <c:pt idx="5">
                  <c:v>43886</c:v>
                </c:pt>
                <c:pt idx="6">
                  <c:v>43887</c:v>
                </c:pt>
                <c:pt idx="7">
                  <c:v>43888</c:v>
                </c:pt>
                <c:pt idx="8">
                  <c:v>43889</c:v>
                </c:pt>
                <c:pt idx="9">
                  <c:v>43890</c:v>
                </c:pt>
                <c:pt idx="10">
                  <c:v>43891</c:v>
                </c:pt>
                <c:pt idx="11">
                  <c:v>43892</c:v>
                </c:pt>
                <c:pt idx="12">
                  <c:v>43893</c:v>
                </c:pt>
                <c:pt idx="13">
                  <c:v>43894</c:v>
                </c:pt>
                <c:pt idx="14">
                  <c:v>43895</c:v>
                </c:pt>
                <c:pt idx="15">
                  <c:v>43896</c:v>
                </c:pt>
                <c:pt idx="16">
                  <c:v>43897</c:v>
                </c:pt>
                <c:pt idx="17">
                  <c:v>43898</c:v>
                </c:pt>
                <c:pt idx="18">
                  <c:v>43899</c:v>
                </c:pt>
                <c:pt idx="19">
                  <c:v>43900</c:v>
                </c:pt>
                <c:pt idx="20">
                  <c:v>43901</c:v>
                </c:pt>
                <c:pt idx="21">
                  <c:v>43902</c:v>
                </c:pt>
                <c:pt idx="22">
                  <c:v>43903</c:v>
                </c:pt>
                <c:pt idx="23">
                  <c:v>43904</c:v>
                </c:pt>
                <c:pt idx="24">
                  <c:v>43905</c:v>
                </c:pt>
                <c:pt idx="25">
                  <c:v>43906</c:v>
                </c:pt>
                <c:pt idx="26">
                  <c:v>43907</c:v>
                </c:pt>
                <c:pt idx="27">
                  <c:v>43908</c:v>
                </c:pt>
                <c:pt idx="28">
                  <c:v>43909</c:v>
                </c:pt>
                <c:pt idx="29">
                  <c:v>43910</c:v>
                </c:pt>
                <c:pt idx="30">
                  <c:v>43911</c:v>
                </c:pt>
                <c:pt idx="31">
                  <c:v>43912</c:v>
                </c:pt>
                <c:pt idx="32">
                  <c:v>43913</c:v>
                </c:pt>
                <c:pt idx="33">
                  <c:v>43914</c:v>
                </c:pt>
                <c:pt idx="34">
                  <c:v>43915</c:v>
                </c:pt>
                <c:pt idx="35">
                  <c:v>43916</c:v>
                </c:pt>
                <c:pt idx="36">
                  <c:v>43917</c:v>
                </c:pt>
                <c:pt idx="37">
                  <c:v>43918</c:v>
                </c:pt>
                <c:pt idx="38">
                  <c:v>43919</c:v>
                </c:pt>
                <c:pt idx="39">
                  <c:v>43920</c:v>
                </c:pt>
                <c:pt idx="40">
                  <c:v>43921</c:v>
                </c:pt>
                <c:pt idx="41">
                  <c:v>43922</c:v>
                </c:pt>
                <c:pt idx="42">
                  <c:v>43923</c:v>
                </c:pt>
                <c:pt idx="43">
                  <c:v>43924</c:v>
                </c:pt>
                <c:pt idx="44">
                  <c:v>43925</c:v>
                </c:pt>
                <c:pt idx="45">
                  <c:v>43926</c:v>
                </c:pt>
                <c:pt idx="46">
                  <c:v>43927</c:v>
                </c:pt>
                <c:pt idx="47">
                  <c:v>43928</c:v>
                </c:pt>
                <c:pt idx="48">
                  <c:v>43929</c:v>
                </c:pt>
                <c:pt idx="49">
                  <c:v>43930</c:v>
                </c:pt>
                <c:pt idx="50">
                  <c:v>43931</c:v>
                </c:pt>
                <c:pt idx="51">
                  <c:v>43932</c:v>
                </c:pt>
                <c:pt idx="52">
                  <c:v>43933</c:v>
                </c:pt>
                <c:pt idx="53">
                  <c:v>43934</c:v>
                </c:pt>
                <c:pt idx="54">
                  <c:v>43935</c:v>
                </c:pt>
                <c:pt idx="55">
                  <c:v>43936</c:v>
                </c:pt>
                <c:pt idx="56">
                  <c:v>43937</c:v>
                </c:pt>
                <c:pt idx="57">
                  <c:v>43938</c:v>
                </c:pt>
                <c:pt idx="58">
                  <c:v>43939</c:v>
                </c:pt>
                <c:pt idx="59">
                  <c:v>43940</c:v>
                </c:pt>
                <c:pt idx="60">
                  <c:v>43941</c:v>
                </c:pt>
                <c:pt idx="61">
                  <c:v>43942</c:v>
                </c:pt>
                <c:pt idx="62">
                  <c:v>43943</c:v>
                </c:pt>
                <c:pt idx="63">
                  <c:v>43944</c:v>
                </c:pt>
                <c:pt idx="64">
                  <c:v>43945</c:v>
                </c:pt>
                <c:pt idx="65">
                  <c:v>43946</c:v>
                </c:pt>
                <c:pt idx="66">
                  <c:v>43947</c:v>
                </c:pt>
                <c:pt idx="67">
                  <c:v>43948</c:v>
                </c:pt>
                <c:pt idx="68">
                  <c:v>43949</c:v>
                </c:pt>
                <c:pt idx="69">
                  <c:v>43950</c:v>
                </c:pt>
                <c:pt idx="70">
                  <c:v>43951</c:v>
                </c:pt>
              </c:numCache>
            </c:numRef>
          </c:cat>
          <c:val>
            <c:numRef>
              <c:f>'Figura 3'!$E$2:$E$72</c:f>
              <c:numCache>
                <c:formatCode>General</c:formatCode>
                <c:ptCount val="71"/>
                <c:pt idx="0">
                  <c:v>92.044503254000006</c:v>
                </c:pt>
                <c:pt idx="1">
                  <c:v>92.196416721999995</c:v>
                </c:pt>
                <c:pt idx="2">
                  <c:v>92.357435269000007</c:v>
                </c:pt>
                <c:pt idx="3">
                  <c:v>92.522765165999999</c:v>
                </c:pt>
                <c:pt idx="4">
                  <c:v>92.832066273999999</c:v>
                </c:pt>
                <c:pt idx="5">
                  <c:v>93.044342318000005</c:v>
                </c:pt>
                <c:pt idx="6">
                  <c:v>93.372462705000004</c:v>
                </c:pt>
                <c:pt idx="7">
                  <c:v>93.707892204000004</c:v>
                </c:pt>
                <c:pt idx="8">
                  <c:v>93.785524820000006</c:v>
                </c:pt>
                <c:pt idx="9">
                  <c:v>95.218417946000002</c:v>
                </c:pt>
                <c:pt idx="10">
                  <c:v>95.180554909999998</c:v>
                </c:pt>
                <c:pt idx="11">
                  <c:v>95.422204937000004</c:v>
                </c:pt>
                <c:pt idx="12">
                  <c:v>95.864619270000006</c:v>
                </c:pt>
                <c:pt idx="13">
                  <c:v>96.222641929000005</c:v>
                </c:pt>
                <c:pt idx="14">
                  <c:v>96.717326559</c:v>
                </c:pt>
                <c:pt idx="15">
                  <c:v>97.642406430999998</c:v>
                </c:pt>
                <c:pt idx="16">
                  <c:v>98.591849343000007</c:v>
                </c:pt>
                <c:pt idx="17">
                  <c:v>99.562823154</c:v>
                </c:pt>
                <c:pt idx="18">
                  <c:v>100.85445269</c:v>
                </c:pt>
                <c:pt idx="19">
                  <c:v>102.52944187999999</c:v>
                </c:pt>
                <c:pt idx="20">
                  <c:v>104.30751791</c:v>
                </c:pt>
                <c:pt idx="21">
                  <c:v>105.66279023</c:v>
                </c:pt>
                <c:pt idx="22">
                  <c:v>107.53070331000001</c:v>
                </c:pt>
                <c:pt idx="23">
                  <c:v>109.24689623</c:v>
                </c:pt>
                <c:pt idx="24">
                  <c:v>110.75455334</c:v>
                </c:pt>
                <c:pt idx="25">
                  <c:v>112.60163376</c:v>
                </c:pt>
                <c:pt idx="26">
                  <c:v>114.82708635</c:v>
                </c:pt>
                <c:pt idx="27">
                  <c:v>117.28349095</c:v>
                </c:pt>
                <c:pt idx="28">
                  <c:v>119.66157808</c:v>
                </c:pt>
                <c:pt idx="29">
                  <c:v>121.95077584000001</c:v>
                </c:pt>
                <c:pt idx="30">
                  <c:v>124.35895128999999</c:v>
                </c:pt>
                <c:pt idx="31">
                  <c:v>126.68329177</c:v>
                </c:pt>
                <c:pt idx="32">
                  <c:v>128.97598110999999</c:v>
                </c:pt>
                <c:pt idx="33">
                  <c:v>131.08735086999999</c:v>
                </c:pt>
                <c:pt idx="34">
                  <c:v>133.37245224</c:v>
                </c:pt>
                <c:pt idx="35">
                  <c:v>135.27441160999999</c:v>
                </c:pt>
                <c:pt idx="36">
                  <c:v>137.54760091</c:v>
                </c:pt>
                <c:pt idx="37">
                  <c:v>139.66017058</c:v>
                </c:pt>
                <c:pt idx="38">
                  <c:v>141.29605045</c:v>
                </c:pt>
                <c:pt idx="39">
                  <c:v>142.95926248999999</c:v>
                </c:pt>
                <c:pt idx="40">
                  <c:v>144.29835979999999</c:v>
                </c:pt>
                <c:pt idx="41">
                  <c:v>145.51781917</c:v>
                </c:pt>
                <c:pt idx="42">
                  <c:v>146.68007084999999</c:v>
                </c:pt>
                <c:pt idx="43">
                  <c:v>147.7076979</c:v>
                </c:pt>
                <c:pt idx="44">
                  <c:v>148.58202648</c:v>
                </c:pt>
                <c:pt idx="45">
                  <c:v>149.22793092000001</c:v>
                </c:pt>
                <c:pt idx="46">
                  <c:v>150.01920565</c:v>
                </c:pt>
                <c:pt idx="47">
                  <c:v>151.09668176</c:v>
                </c:pt>
                <c:pt idx="48">
                  <c:v>151.88342704999999</c:v>
                </c:pt>
                <c:pt idx="49">
                  <c:v>152.09769254</c:v>
                </c:pt>
                <c:pt idx="50">
                  <c:v>152.59181189</c:v>
                </c:pt>
                <c:pt idx="51">
                  <c:v>153.16608513</c:v>
                </c:pt>
                <c:pt idx="52">
                  <c:v>153.43934641000001</c:v>
                </c:pt>
                <c:pt idx="53">
                  <c:v>153.82056918000001</c:v>
                </c:pt>
                <c:pt idx="54">
                  <c:v>154.17784728999999</c:v>
                </c:pt>
                <c:pt idx="55">
                  <c:v>154.35859477</c:v>
                </c:pt>
                <c:pt idx="56">
                  <c:v>154.37355251</c:v>
                </c:pt>
                <c:pt idx="57">
                  <c:v>154.34493383</c:v>
                </c:pt>
                <c:pt idx="58">
                  <c:v>154.42647549</c:v>
                </c:pt>
                <c:pt idx="59">
                  <c:v>154.59923058999999</c:v>
                </c:pt>
                <c:pt idx="60">
                  <c:v>154.75261753000001</c:v>
                </c:pt>
                <c:pt idx="61">
                  <c:v>154.43732348</c:v>
                </c:pt>
                <c:pt idx="62">
                  <c:v>154.26362853000001</c:v>
                </c:pt>
                <c:pt idx="63">
                  <c:v>154.01418895</c:v>
                </c:pt>
                <c:pt idx="64">
                  <c:v>153.93391083</c:v>
                </c:pt>
                <c:pt idx="65">
                  <c:v>153.81272797</c:v>
                </c:pt>
                <c:pt idx="66">
                  <c:v>153.60181954000001</c:v>
                </c:pt>
                <c:pt idx="67">
                  <c:v>153.37658124999999</c:v>
                </c:pt>
                <c:pt idx="68">
                  <c:v>152.97200545999999</c:v>
                </c:pt>
                <c:pt idx="69">
                  <c:v>152.75273354999999</c:v>
                </c:pt>
                <c:pt idx="70">
                  <c:v>152.66113559999999</c:v>
                </c:pt>
              </c:numCache>
            </c:numRef>
          </c:val>
          <c:smooth val="0"/>
          <c:extLst xmlns:c16r2="http://schemas.microsoft.com/office/drawing/2015/06/chart">
            <c:ext xmlns:c16="http://schemas.microsoft.com/office/drawing/2014/chart" uri="{C3380CC4-5D6E-409C-BE32-E72D297353CC}">
              <c16:uniqueId val="{00000003-9231-49D6-81C0-F1B57614BE4A}"/>
            </c:ext>
          </c:extLst>
        </c:ser>
        <c:ser>
          <c:idx val="4"/>
          <c:order val="4"/>
          <c:tx>
            <c:strRef>
              <c:f>'Figura 3'!$F$1</c:f>
              <c:strCache>
                <c:ptCount val="1"/>
                <c:pt idx="0">
                  <c:v>90+</c:v>
                </c:pt>
              </c:strCache>
            </c:strRef>
          </c:tx>
          <c:spPr>
            <a:ln w="25400" cap="rnd">
              <a:solidFill>
                <a:srgbClr val="FF0000"/>
              </a:solidFill>
              <a:round/>
            </a:ln>
            <a:effectLst/>
          </c:spPr>
          <c:marker>
            <c:symbol val="none"/>
          </c:marker>
          <c:cat>
            <c:numRef>
              <c:f>'Figura 3'!$A$2:$A$72</c:f>
              <c:numCache>
                <c:formatCode>d\-mmm</c:formatCode>
                <c:ptCount val="71"/>
                <c:pt idx="0">
                  <c:v>43881</c:v>
                </c:pt>
                <c:pt idx="1">
                  <c:v>43882</c:v>
                </c:pt>
                <c:pt idx="2">
                  <c:v>43883</c:v>
                </c:pt>
                <c:pt idx="3">
                  <c:v>43884</c:v>
                </c:pt>
                <c:pt idx="4">
                  <c:v>43885</c:v>
                </c:pt>
                <c:pt idx="5">
                  <c:v>43886</c:v>
                </c:pt>
                <c:pt idx="6">
                  <c:v>43887</c:v>
                </c:pt>
                <c:pt idx="7">
                  <c:v>43888</c:v>
                </c:pt>
                <c:pt idx="8">
                  <c:v>43889</c:v>
                </c:pt>
                <c:pt idx="9">
                  <c:v>43890</c:v>
                </c:pt>
                <c:pt idx="10">
                  <c:v>43891</c:v>
                </c:pt>
                <c:pt idx="11">
                  <c:v>43892</c:v>
                </c:pt>
                <c:pt idx="12">
                  <c:v>43893</c:v>
                </c:pt>
                <c:pt idx="13">
                  <c:v>43894</c:v>
                </c:pt>
                <c:pt idx="14">
                  <c:v>43895</c:v>
                </c:pt>
                <c:pt idx="15">
                  <c:v>43896</c:v>
                </c:pt>
                <c:pt idx="16">
                  <c:v>43897</c:v>
                </c:pt>
                <c:pt idx="17">
                  <c:v>43898</c:v>
                </c:pt>
                <c:pt idx="18">
                  <c:v>43899</c:v>
                </c:pt>
                <c:pt idx="19">
                  <c:v>43900</c:v>
                </c:pt>
                <c:pt idx="20">
                  <c:v>43901</c:v>
                </c:pt>
                <c:pt idx="21">
                  <c:v>43902</c:v>
                </c:pt>
                <c:pt idx="22">
                  <c:v>43903</c:v>
                </c:pt>
                <c:pt idx="23">
                  <c:v>43904</c:v>
                </c:pt>
                <c:pt idx="24">
                  <c:v>43905</c:v>
                </c:pt>
                <c:pt idx="25">
                  <c:v>43906</c:v>
                </c:pt>
                <c:pt idx="26">
                  <c:v>43907</c:v>
                </c:pt>
                <c:pt idx="27">
                  <c:v>43908</c:v>
                </c:pt>
                <c:pt idx="28">
                  <c:v>43909</c:v>
                </c:pt>
                <c:pt idx="29">
                  <c:v>43910</c:v>
                </c:pt>
                <c:pt idx="30">
                  <c:v>43911</c:v>
                </c:pt>
                <c:pt idx="31">
                  <c:v>43912</c:v>
                </c:pt>
                <c:pt idx="32">
                  <c:v>43913</c:v>
                </c:pt>
                <c:pt idx="33">
                  <c:v>43914</c:v>
                </c:pt>
                <c:pt idx="34">
                  <c:v>43915</c:v>
                </c:pt>
                <c:pt idx="35">
                  <c:v>43916</c:v>
                </c:pt>
                <c:pt idx="36">
                  <c:v>43917</c:v>
                </c:pt>
                <c:pt idx="37">
                  <c:v>43918</c:v>
                </c:pt>
                <c:pt idx="38">
                  <c:v>43919</c:v>
                </c:pt>
                <c:pt idx="39">
                  <c:v>43920</c:v>
                </c:pt>
                <c:pt idx="40">
                  <c:v>43921</c:v>
                </c:pt>
                <c:pt idx="41">
                  <c:v>43922</c:v>
                </c:pt>
                <c:pt idx="42">
                  <c:v>43923</c:v>
                </c:pt>
                <c:pt idx="43">
                  <c:v>43924</c:v>
                </c:pt>
                <c:pt idx="44">
                  <c:v>43925</c:v>
                </c:pt>
                <c:pt idx="45">
                  <c:v>43926</c:v>
                </c:pt>
                <c:pt idx="46">
                  <c:v>43927</c:v>
                </c:pt>
                <c:pt idx="47">
                  <c:v>43928</c:v>
                </c:pt>
                <c:pt idx="48">
                  <c:v>43929</c:v>
                </c:pt>
                <c:pt idx="49">
                  <c:v>43930</c:v>
                </c:pt>
                <c:pt idx="50">
                  <c:v>43931</c:v>
                </c:pt>
                <c:pt idx="51">
                  <c:v>43932</c:v>
                </c:pt>
                <c:pt idx="52">
                  <c:v>43933</c:v>
                </c:pt>
                <c:pt idx="53">
                  <c:v>43934</c:v>
                </c:pt>
                <c:pt idx="54">
                  <c:v>43935</c:v>
                </c:pt>
                <c:pt idx="55">
                  <c:v>43936</c:v>
                </c:pt>
                <c:pt idx="56">
                  <c:v>43937</c:v>
                </c:pt>
                <c:pt idx="57">
                  <c:v>43938</c:v>
                </c:pt>
                <c:pt idx="58">
                  <c:v>43939</c:v>
                </c:pt>
                <c:pt idx="59">
                  <c:v>43940</c:v>
                </c:pt>
                <c:pt idx="60">
                  <c:v>43941</c:v>
                </c:pt>
                <c:pt idx="61">
                  <c:v>43942</c:v>
                </c:pt>
                <c:pt idx="62">
                  <c:v>43943</c:v>
                </c:pt>
                <c:pt idx="63">
                  <c:v>43944</c:v>
                </c:pt>
                <c:pt idx="64">
                  <c:v>43945</c:v>
                </c:pt>
                <c:pt idx="65">
                  <c:v>43946</c:v>
                </c:pt>
                <c:pt idx="66">
                  <c:v>43947</c:v>
                </c:pt>
                <c:pt idx="67">
                  <c:v>43948</c:v>
                </c:pt>
                <c:pt idx="68">
                  <c:v>43949</c:v>
                </c:pt>
                <c:pt idx="69">
                  <c:v>43950</c:v>
                </c:pt>
                <c:pt idx="70">
                  <c:v>43951</c:v>
                </c:pt>
              </c:numCache>
            </c:numRef>
          </c:cat>
          <c:val>
            <c:numRef>
              <c:f>'Figura 3'!$F$2:$F$72</c:f>
              <c:numCache>
                <c:formatCode>General</c:formatCode>
                <c:ptCount val="71"/>
                <c:pt idx="0">
                  <c:v>100.13192612</c:v>
                </c:pt>
                <c:pt idx="1">
                  <c:v>100</c:v>
                </c:pt>
                <c:pt idx="2">
                  <c:v>99.744979279999995</c:v>
                </c:pt>
                <c:pt idx="3">
                  <c:v>99.686912961999994</c:v>
                </c:pt>
                <c:pt idx="4">
                  <c:v>99.821307536000006</c:v>
                </c:pt>
                <c:pt idx="5">
                  <c:v>99.860504609000003</c:v>
                </c:pt>
                <c:pt idx="6">
                  <c:v>99.946313528999994</c:v>
                </c:pt>
                <c:pt idx="7">
                  <c:v>99.471830986000001</c:v>
                </c:pt>
                <c:pt idx="8">
                  <c:v>99.433787843999994</c:v>
                </c:pt>
                <c:pt idx="9">
                  <c:v>100.93355615999999</c:v>
                </c:pt>
                <c:pt idx="10">
                  <c:v>101.51549552</c:v>
                </c:pt>
                <c:pt idx="11">
                  <c:v>101.85911075999999</c:v>
                </c:pt>
                <c:pt idx="12">
                  <c:v>101.88658429</c:v>
                </c:pt>
                <c:pt idx="13">
                  <c:v>101.88207137000001</c:v>
                </c:pt>
                <c:pt idx="14">
                  <c:v>102.60472609999999</c:v>
                </c:pt>
                <c:pt idx="15">
                  <c:v>102.96453150000001</c:v>
                </c:pt>
                <c:pt idx="16">
                  <c:v>103.30600094</c:v>
                </c:pt>
                <c:pt idx="17">
                  <c:v>104.01940044</c:v>
                </c:pt>
                <c:pt idx="18">
                  <c:v>104.37633425</c:v>
                </c:pt>
                <c:pt idx="19">
                  <c:v>105.35553104</c:v>
                </c:pt>
                <c:pt idx="20">
                  <c:v>106.37349577000001</c:v>
                </c:pt>
                <c:pt idx="21">
                  <c:v>107.51688363</c:v>
                </c:pt>
                <c:pt idx="22">
                  <c:v>108.48440899000001</c:v>
                </c:pt>
                <c:pt idx="23">
                  <c:v>109.44799313999999</c:v>
                </c:pt>
                <c:pt idx="24">
                  <c:v>110.41774596</c:v>
                </c:pt>
                <c:pt idx="25">
                  <c:v>111.90553822</c:v>
                </c:pt>
                <c:pt idx="26">
                  <c:v>113.14019897</c:v>
                </c:pt>
                <c:pt idx="27">
                  <c:v>115.2340193</c:v>
                </c:pt>
                <c:pt idx="28">
                  <c:v>117.13129496000001</c:v>
                </c:pt>
                <c:pt idx="29">
                  <c:v>118.90365892</c:v>
                </c:pt>
                <c:pt idx="30">
                  <c:v>120.10816991</c:v>
                </c:pt>
                <c:pt idx="31">
                  <c:v>122.03935911000001</c:v>
                </c:pt>
                <c:pt idx="32">
                  <c:v>123.36235132</c:v>
                </c:pt>
                <c:pt idx="33">
                  <c:v>125.22391879</c:v>
                </c:pt>
                <c:pt idx="34">
                  <c:v>126.59857341999999</c:v>
                </c:pt>
                <c:pt idx="35">
                  <c:v>128.10020876999999</c:v>
                </c:pt>
                <c:pt idx="36">
                  <c:v>129.52479339000001</c:v>
                </c:pt>
                <c:pt idx="37">
                  <c:v>131.31209878999999</c:v>
                </c:pt>
                <c:pt idx="38">
                  <c:v>133.04573257000001</c:v>
                </c:pt>
                <c:pt idx="39">
                  <c:v>134.73570225</c:v>
                </c:pt>
                <c:pt idx="40">
                  <c:v>135.61409782999999</c:v>
                </c:pt>
                <c:pt idx="41">
                  <c:v>137.15578285000001</c:v>
                </c:pt>
                <c:pt idx="42">
                  <c:v>138.11379579000001</c:v>
                </c:pt>
                <c:pt idx="43">
                  <c:v>138.94249325000001</c:v>
                </c:pt>
                <c:pt idx="44">
                  <c:v>139.65807389</c:v>
                </c:pt>
                <c:pt idx="45">
                  <c:v>140.26771833000001</c:v>
                </c:pt>
                <c:pt idx="46">
                  <c:v>140.89798986</c:v>
                </c:pt>
                <c:pt idx="47">
                  <c:v>141.82468428000001</c:v>
                </c:pt>
                <c:pt idx="48">
                  <c:v>142.35598227</c:v>
                </c:pt>
                <c:pt idx="49">
                  <c:v>142.65567766000001</c:v>
                </c:pt>
                <c:pt idx="50">
                  <c:v>143.33163931999999</c:v>
                </c:pt>
                <c:pt idx="51">
                  <c:v>144.27340566999999</c:v>
                </c:pt>
                <c:pt idx="52">
                  <c:v>145.00196843000001</c:v>
                </c:pt>
                <c:pt idx="53">
                  <c:v>145.76012494</c:v>
                </c:pt>
                <c:pt idx="54">
                  <c:v>146.13786059</c:v>
                </c:pt>
                <c:pt idx="55">
                  <c:v>146.23235005999999</c:v>
                </c:pt>
                <c:pt idx="56">
                  <c:v>146.42436013</c:v>
                </c:pt>
                <c:pt idx="57">
                  <c:v>146.53305373000001</c:v>
                </c:pt>
                <c:pt idx="58">
                  <c:v>146.85398244999999</c:v>
                </c:pt>
                <c:pt idx="59">
                  <c:v>147.10665402000001</c:v>
                </c:pt>
                <c:pt idx="60">
                  <c:v>147.64163639</c:v>
                </c:pt>
                <c:pt idx="61">
                  <c:v>147.63319534999999</c:v>
                </c:pt>
                <c:pt idx="62">
                  <c:v>147.65834742000001</c:v>
                </c:pt>
                <c:pt idx="63">
                  <c:v>147.69251011</c:v>
                </c:pt>
                <c:pt idx="64">
                  <c:v>148.00405401</c:v>
                </c:pt>
                <c:pt idx="65">
                  <c:v>147.98468228999999</c:v>
                </c:pt>
                <c:pt idx="66">
                  <c:v>147.87213495</c:v>
                </c:pt>
                <c:pt idx="67">
                  <c:v>147.97174183999999</c:v>
                </c:pt>
                <c:pt idx="68">
                  <c:v>148.03174602999999</c:v>
                </c:pt>
                <c:pt idx="69">
                  <c:v>147.87666698000001</c:v>
                </c:pt>
                <c:pt idx="70">
                  <c:v>147.64764765000001</c:v>
                </c:pt>
              </c:numCache>
            </c:numRef>
          </c:val>
          <c:smooth val="0"/>
          <c:extLst xmlns:c16r2="http://schemas.microsoft.com/office/drawing/2015/06/chart">
            <c:ext xmlns:c16="http://schemas.microsoft.com/office/drawing/2014/chart" uri="{C3380CC4-5D6E-409C-BE32-E72D297353CC}">
              <c16:uniqueId val="{00000004-9231-49D6-81C0-F1B57614BE4A}"/>
            </c:ext>
          </c:extLst>
        </c:ser>
        <c:ser>
          <c:idx val="5"/>
          <c:order val="5"/>
          <c:spPr>
            <a:ln w="25400" cap="rnd">
              <a:solidFill>
                <a:schemeClr val="tx1"/>
              </a:solidFill>
              <a:round/>
            </a:ln>
            <a:effectLst/>
          </c:spPr>
          <c:marker>
            <c:symbol val="none"/>
          </c:marker>
          <c:cat>
            <c:numRef>
              <c:f>'Figura 3'!$A$2:$A$72</c:f>
              <c:numCache>
                <c:formatCode>d\-mmm</c:formatCode>
                <c:ptCount val="71"/>
                <c:pt idx="0">
                  <c:v>43881</c:v>
                </c:pt>
                <c:pt idx="1">
                  <c:v>43882</c:v>
                </c:pt>
                <c:pt idx="2">
                  <c:v>43883</c:v>
                </c:pt>
                <c:pt idx="3">
                  <c:v>43884</c:v>
                </c:pt>
                <c:pt idx="4">
                  <c:v>43885</c:v>
                </c:pt>
                <c:pt idx="5">
                  <c:v>43886</c:v>
                </c:pt>
                <c:pt idx="6">
                  <c:v>43887</c:v>
                </c:pt>
                <c:pt idx="7">
                  <c:v>43888</c:v>
                </c:pt>
                <c:pt idx="8">
                  <c:v>43889</c:v>
                </c:pt>
                <c:pt idx="9">
                  <c:v>43890</c:v>
                </c:pt>
                <c:pt idx="10">
                  <c:v>43891</c:v>
                </c:pt>
                <c:pt idx="11">
                  <c:v>43892</c:v>
                </c:pt>
                <c:pt idx="12">
                  <c:v>43893</c:v>
                </c:pt>
                <c:pt idx="13">
                  <c:v>43894</c:v>
                </c:pt>
                <c:pt idx="14">
                  <c:v>43895</c:v>
                </c:pt>
                <c:pt idx="15">
                  <c:v>43896</c:v>
                </c:pt>
                <c:pt idx="16">
                  <c:v>43897</c:v>
                </c:pt>
                <c:pt idx="17">
                  <c:v>43898</c:v>
                </c:pt>
                <c:pt idx="18">
                  <c:v>43899</c:v>
                </c:pt>
                <c:pt idx="19">
                  <c:v>43900</c:v>
                </c:pt>
                <c:pt idx="20">
                  <c:v>43901</c:v>
                </c:pt>
                <c:pt idx="21">
                  <c:v>43902</c:v>
                </c:pt>
                <c:pt idx="22">
                  <c:v>43903</c:v>
                </c:pt>
                <c:pt idx="23">
                  <c:v>43904</c:v>
                </c:pt>
                <c:pt idx="24">
                  <c:v>43905</c:v>
                </c:pt>
                <c:pt idx="25">
                  <c:v>43906</c:v>
                </c:pt>
                <c:pt idx="26">
                  <c:v>43907</c:v>
                </c:pt>
                <c:pt idx="27">
                  <c:v>43908</c:v>
                </c:pt>
                <c:pt idx="28">
                  <c:v>43909</c:v>
                </c:pt>
                <c:pt idx="29">
                  <c:v>43910</c:v>
                </c:pt>
                <c:pt idx="30">
                  <c:v>43911</c:v>
                </c:pt>
                <c:pt idx="31">
                  <c:v>43912</c:v>
                </c:pt>
                <c:pt idx="32">
                  <c:v>43913</c:v>
                </c:pt>
                <c:pt idx="33">
                  <c:v>43914</c:v>
                </c:pt>
                <c:pt idx="34">
                  <c:v>43915</c:v>
                </c:pt>
                <c:pt idx="35">
                  <c:v>43916</c:v>
                </c:pt>
                <c:pt idx="36">
                  <c:v>43917</c:v>
                </c:pt>
                <c:pt idx="37">
                  <c:v>43918</c:v>
                </c:pt>
                <c:pt idx="38">
                  <c:v>43919</c:v>
                </c:pt>
                <c:pt idx="39">
                  <c:v>43920</c:v>
                </c:pt>
                <c:pt idx="40">
                  <c:v>43921</c:v>
                </c:pt>
                <c:pt idx="41">
                  <c:v>43922</c:v>
                </c:pt>
                <c:pt idx="42">
                  <c:v>43923</c:v>
                </c:pt>
                <c:pt idx="43">
                  <c:v>43924</c:v>
                </c:pt>
                <c:pt idx="44">
                  <c:v>43925</c:v>
                </c:pt>
                <c:pt idx="45">
                  <c:v>43926</c:v>
                </c:pt>
                <c:pt idx="46">
                  <c:v>43927</c:v>
                </c:pt>
                <c:pt idx="47">
                  <c:v>43928</c:v>
                </c:pt>
                <c:pt idx="48">
                  <c:v>43929</c:v>
                </c:pt>
                <c:pt idx="49">
                  <c:v>43930</c:v>
                </c:pt>
                <c:pt idx="50">
                  <c:v>43931</c:v>
                </c:pt>
                <c:pt idx="51">
                  <c:v>43932</c:v>
                </c:pt>
                <c:pt idx="52">
                  <c:v>43933</c:v>
                </c:pt>
                <c:pt idx="53">
                  <c:v>43934</c:v>
                </c:pt>
                <c:pt idx="54">
                  <c:v>43935</c:v>
                </c:pt>
                <c:pt idx="55">
                  <c:v>43936</c:v>
                </c:pt>
                <c:pt idx="56">
                  <c:v>43937</c:v>
                </c:pt>
                <c:pt idx="57">
                  <c:v>43938</c:v>
                </c:pt>
                <c:pt idx="58">
                  <c:v>43939</c:v>
                </c:pt>
                <c:pt idx="59">
                  <c:v>43940</c:v>
                </c:pt>
                <c:pt idx="60">
                  <c:v>43941</c:v>
                </c:pt>
                <c:pt idx="61">
                  <c:v>43942</c:v>
                </c:pt>
                <c:pt idx="62">
                  <c:v>43943</c:v>
                </c:pt>
                <c:pt idx="63">
                  <c:v>43944</c:v>
                </c:pt>
                <c:pt idx="64">
                  <c:v>43945</c:v>
                </c:pt>
                <c:pt idx="65">
                  <c:v>43946</c:v>
                </c:pt>
                <c:pt idx="66">
                  <c:v>43947</c:v>
                </c:pt>
                <c:pt idx="67">
                  <c:v>43948</c:v>
                </c:pt>
                <c:pt idx="68">
                  <c:v>43949</c:v>
                </c:pt>
                <c:pt idx="69">
                  <c:v>43950</c:v>
                </c:pt>
                <c:pt idx="70">
                  <c:v>43951</c:v>
                </c:pt>
              </c:numCache>
            </c:numRef>
          </c:cat>
          <c:val>
            <c:numRef>
              <c:f>'Figura 3'!$G$2:$G$72</c:f>
              <c:numCache>
                <c:formatCode>General</c:formatCode>
                <c:ptCount val="7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numCache>
            </c:numRef>
          </c:val>
          <c:smooth val="0"/>
          <c:extLst xmlns:c16r2="http://schemas.microsoft.com/office/drawing/2015/06/chart">
            <c:ext xmlns:c16="http://schemas.microsoft.com/office/drawing/2014/chart" uri="{C3380CC4-5D6E-409C-BE32-E72D297353CC}">
              <c16:uniqueId val="{00000005-9231-49D6-81C0-F1B57614BE4A}"/>
            </c:ext>
          </c:extLst>
        </c:ser>
        <c:dLbls>
          <c:showLegendKey val="0"/>
          <c:showVal val="0"/>
          <c:showCatName val="0"/>
          <c:showSerName val="0"/>
          <c:showPercent val="0"/>
          <c:showBubbleSize val="0"/>
        </c:dLbls>
        <c:marker val="1"/>
        <c:smooth val="0"/>
        <c:axId val="210292736"/>
        <c:axId val="210294272"/>
      </c:lineChart>
      <c:dateAx>
        <c:axId val="210292736"/>
        <c:scaling>
          <c:orientation val="minMax"/>
        </c:scaling>
        <c:delete val="0"/>
        <c:axPos val="b"/>
        <c:majorGridlines>
          <c:spPr>
            <a:ln w="9525" cap="flat" cmpd="sng" algn="ctr">
              <a:solidFill>
                <a:schemeClr val="tx1">
                  <a:lumMod val="15000"/>
                  <a:lumOff val="85000"/>
                </a:schemeClr>
              </a:solidFill>
              <a:round/>
            </a:ln>
            <a:effectLst/>
          </c:spPr>
        </c:majorGridlines>
        <c:numFmt formatCode="d\-m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crossAx val="210294272"/>
        <c:crosses val="autoZero"/>
        <c:auto val="1"/>
        <c:lblOffset val="100"/>
        <c:baseTimeUnit val="days"/>
        <c:majorUnit val="3"/>
        <c:majorTimeUnit val="days"/>
      </c:dateAx>
      <c:valAx>
        <c:axId val="210294272"/>
        <c:scaling>
          <c:orientation val="minMax"/>
          <c:max val="160"/>
          <c:min val="8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crossAx val="210292736"/>
        <c:crosses val="autoZero"/>
        <c:crossBetween val="between"/>
      </c:valAx>
      <c:spPr>
        <a:noFill/>
        <a:ln>
          <a:noFill/>
        </a:ln>
        <a:effectLst/>
      </c:spPr>
    </c:plotArea>
    <c:legend>
      <c:legendPos val="t"/>
      <c:legendEntry>
        <c:idx val="5"/>
        <c:delete val="1"/>
      </c:legendEntry>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'Figura 11'!$B$1</c:f>
              <c:strCache>
                <c:ptCount val="1"/>
                <c:pt idx="0">
                  <c:v>eccesso di mortalità  2020 rispetto alla media 2015-2019</c:v>
                </c:pt>
              </c:strCache>
            </c:strRef>
          </c:tx>
          <c:spPr>
            <a:solidFill>
              <a:srgbClr val="002060"/>
            </a:solidFill>
            <a:ln>
              <a:noFill/>
            </a:ln>
            <a:effectLst/>
          </c:spPr>
          <c:invertIfNegative val="0"/>
          <c:cat>
            <c:numRef>
              <c:f>'Figura 11'!$A$2:$A$62</c:f>
              <c:numCache>
                <c:formatCode>d\-mmm</c:formatCode>
                <c:ptCount val="61"/>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pt idx="31">
                  <c:v>43922</c:v>
                </c:pt>
                <c:pt idx="32">
                  <c:v>43923</c:v>
                </c:pt>
                <c:pt idx="33">
                  <c:v>43924</c:v>
                </c:pt>
                <c:pt idx="34">
                  <c:v>43925</c:v>
                </c:pt>
                <c:pt idx="35">
                  <c:v>43926</c:v>
                </c:pt>
                <c:pt idx="36">
                  <c:v>43927</c:v>
                </c:pt>
                <c:pt idx="37">
                  <c:v>43928</c:v>
                </c:pt>
                <c:pt idx="38">
                  <c:v>43929</c:v>
                </c:pt>
                <c:pt idx="39">
                  <c:v>43930</c:v>
                </c:pt>
                <c:pt idx="40">
                  <c:v>43931</c:v>
                </c:pt>
                <c:pt idx="41">
                  <c:v>43932</c:v>
                </c:pt>
                <c:pt idx="42">
                  <c:v>43933</c:v>
                </c:pt>
                <c:pt idx="43">
                  <c:v>43934</c:v>
                </c:pt>
                <c:pt idx="44">
                  <c:v>43935</c:v>
                </c:pt>
                <c:pt idx="45">
                  <c:v>43936</c:v>
                </c:pt>
                <c:pt idx="46">
                  <c:v>43937</c:v>
                </c:pt>
                <c:pt idx="47">
                  <c:v>43938</c:v>
                </c:pt>
                <c:pt idx="48">
                  <c:v>43939</c:v>
                </c:pt>
                <c:pt idx="49">
                  <c:v>43940</c:v>
                </c:pt>
                <c:pt idx="50">
                  <c:v>43941</c:v>
                </c:pt>
                <c:pt idx="51">
                  <c:v>43942</c:v>
                </c:pt>
                <c:pt idx="52">
                  <c:v>43943</c:v>
                </c:pt>
                <c:pt idx="53">
                  <c:v>43944</c:v>
                </c:pt>
                <c:pt idx="54">
                  <c:v>43945</c:v>
                </c:pt>
                <c:pt idx="55">
                  <c:v>43946</c:v>
                </c:pt>
                <c:pt idx="56">
                  <c:v>43947</c:v>
                </c:pt>
                <c:pt idx="57">
                  <c:v>43948</c:v>
                </c:pt>
                <c:pt idx="58">
                  <c:v>43949</c:v>
                </c:pt>
                <c:pt idx="59">
                  <c:v>43950</c:v>
                </c:pt>
                <c:pt idx="60">
                  <c:v>43951</c:v>
                </c:pt>
              </c:numCache>
            </c:numRef>
          </c:cat>
          <c:val>
            <c:numRef>
              <c:f>'Figura 11'!$B$2:$B$62</c:f>
              <c:numCache>
                <c:formatCode>General</c:formatCode>
                <c:ptCount val="61"/>
                <c:pt idx="0">
                  <c:v>13.799999999999999</c:v>
                </c:pt>
                <c:pt idx="1">
                  <c:v>16.399999999999999</c:v>
                </c:pt>
                <c:pt idx="2">
                  <c:v>26.4</c:v>
                </c:pt>
                <c:pt idx="3">
                  <c:v>36.799999999999997</c:v>
                </c:pt>
                <c:pt idx="4">
                  <c:v>51.400000000000006</c:v>
                </c:pt>
                <c:pt idx="5">
                  <c:v>63.800000000000004</c:v>
                </c:pt>
                <c:pt idx="6">
                  <c:v>92.6</c:v>
                </c:pt>
                <c:pt idx="7">
                  <c:v>107</c:v>
                </c:pt>
                <c:pt idx="8">
                  <c:v>118</c:v>
                </c:pt>
                <c:pt idx="9">
                  <c:v>138.19999999999999</c:v>
                </c:pt>
                <c:pt idx="10">
                  <c:v>156.60000000000002</c:v>
                </c:pt>
                <c:pt idx="11">
                  <c:v>186</c:v>
                </c:pt>
                <c:pt idx="12">
                  <c:v>202.00000000000003</c:v>
                </c:pt>
                <c:pt idx="13">
                  <c:v>218.6</c:v>
                </c:pt>
                <c:pt idx="14">
                  <c:v>207.39999999999998</c:v>
                </c:pt>
                <c:pt idx="15">
                  <c:v>233.6</c:v>
                </c:pt>
                <c:pt idx="16">
                  <c:v>249.39999999999998</c:v>
                </c:pt>
                <c:pt idx="17">
                  <c:v>229.4</c:v>
                </c:pt>
                <c:pt idx="18">
                  <c:v>301.39999999999998</c:v>
                </c:pt>
                <c:pt idx="19">
                  <c:v>244.8</c:v>
                </c:pt>
                <c:pt idx="20">
                  <c:v>264.40000000000003</c:v>
                </c:pt>
                <c:pt idx="21">
                  <c:v>260.60000000000002</c:v>
                </c:pt>
                <c:pt idx="22">
                  <c:v>226.6</c:v>
                </c:pt>
                <c:pt idx="23">
                  <c:v>241.8</c:v>
                </c:pt>
                <c:pt idx="24">
                  <c:v>212.60000000000002</c:v>
                </c:pt>
                <c:pt idx="25">
                  <c:v>223.8</c:v>
                </c:pt>
                <c:pt idx="26">
                  <c:v>205.4</c:v>
                </c:pt>
                <c:pt idx="27">
                  <c:v>158.6</c:v>
                </c:pt>
                <c:pt idx="28">
                  <c:v>160</c:v>
                </c:pt>
                <c:pt idx="29">
                  <c:v>153.6</c:v>
                </c:pt>
                <c:pt idx="30">
                  <c:v>104</c:v>
                </c:pt>
                <c:pt idx="31">
                  <c:v>101.2</c:v>
                </c:pt>
                <c:pt idx="32">
                  <c:v>88.8</c:v>
                </c:pt>
                <c:pt idx="33">
                  <c:v>83</c:v>
                </c:pt>
                <c:pt idx="34">
                  <c:v>62.599999999999994</c:v>
                </c:pt>
                <c:pt idx="35">
                  <c:v>50.199999999999996</c:v>
                </c:pt>
                <c:pt idx="36">
                  <c:v>57.2</c:v>
                </c:pt>
                <c:pt idx="37">
                  <c:v>84.6</c:v>
                </c:pt>
                <c:pt idx="38">
                  <c:v>62</c:v>
                </c:pt>
                <c:pt idx="39">
                  <c:v>37.6</c:v>
                </c:pt>
                <c:pt idx="40">
                  <c:v>30.8</c:v>
                </c:pt>
                <c:pt idx="41">
                  <c:v>43.399999999999991</c:v>
                </c:pt>
                <c:pt idx="42">
                  <c:v>9.6000000000000014</c:v>
                </c:pt>
                <c:pt idx="43">
                  <c:v>40</c:v>
                </c:pt>
                <c:pt idx="44">
                  <c:v>18</c:v>
                </c:pt>
                <c:pt idx="45">
                  <c:v>22.799999999999997</c:v>
                </c:pt>
                <c:pt idx="46">
                  <c:v>21.599999999999998</c:v>
                </c:pt>
                <c:pt idx="47">
                  <c:v>23</c:v>
                </c:pt>
                <c:pt idx="48">
                  <c:v>21.599999999999998</c:v>
                </c:pt>
                <c:pt idx="49">
                  <c:v>13.200000000000001</c:v>
                </c:pt>
                <c:pt idx="50">
                  <c:v>14.4</c:v>
                </c:pt>
                <c:pt idx="51">
                  <c:v>17.600000000000001</c:v>
                </c:pt>
                <c:pt idx="52">
                  <c:v>14.6</c:v>
                </c:pt>
                <c:pt idx="53">
                  <c:v>7.3999999999999995</c:v>
                </c:pt>
                <c:pt idx="54">
                  <c:v>8.7999999999999989</c:v>
                </c:pt>
                <c:pt idx="55">
                  <c:v>10.6</c:v>
                </c:pt>
                <c:pt idx="56">
                  <c:v>8.8000000000000007</c:v>
                </c:pt>
                <c:pt idx="57">
                  <c:v>-7.8000000000000007</c:v>
                </c:pt>
                <c:pt idx="58">
                  <c:v>5.6</c:v>
                </c:pt>
                <c:pt idx="59">
                  <c:v>7.2</c:v>
                </c:pt>
                <c:pt idx="60">
                  <c:v>8.4</c:v>
                </c:pt>
              </c:numCache>
            </c:numRef>
          </c:val>
          <c:extLst xmlns:c16r2="http://schemas.microsoft.com/office/drawing/2015/06/chart">
            <c:ext xmlns:c16="http://schemas.microsoft.com/office/drawing/2014/chart" uri="{C3380CC4-5D6E-409C-BE32-E72D297353CC}">
              <c16:uniqueId val="{00000000-2ACE-4615-AC70-321AAF914637}"/>
            </c:ext>
          </c:extLst>
        </c:ser>
        <c:ser>
          <c:idx val="1"/>
          <c:order val="1"/>
          <c:tx>
            <c:strRef>
              <c:f>'Figura 11'!$C$1</c:f>
              <c:strCache>
                <c:ptCount val="1"/>
                <c:pt idx="0">
                  <c:v>decessi covid-19</c:v>
                </c:pt>
              </c:strCache>
            </c:strRef>
          </c:tx>
          <c:spPr>
            <a:solidFill>
              <a:srgbClr val="FFC000"/>
            </a:solidFill>
            <a:ln>
              <a:noFill/>
            </a:ln>
            <a:effectLst/>
          </c:spPr>
          <c:invertIfNegative val="0"/>
          <c:cat>
            <c:numRef>
              <c:f>'Figura 11'!$A$2:$A$62</c:f>
              <c:numCache>
                <c:formatCode>d\-mmm</c:formatCode>
                <c:ptCount val="61"/>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pt idx="31">
                  <c:v>43922</c:v>
                </c:pt>
                <c:pt idx="32">
                  <c:v>43923</c:v>
                </c:pt>
                <c:pt idx="33">
                  <c:v>43924</c:v>
                </c:pt>
                <c:pt idx="34">
                  <c:v>43925</c:v>
                </c:pt>
                <c:pt idx="35">
                  <c:v>43926</c:v>
                </c:pt>
                <c:pt idx="36">
                  <c:v>43927</c:v>
                </c:pt>
                <c:pt idx="37">
                  <c:v>43928</c:v>
                </c:pt>
                <c:pt idx="38">
                  <c:v>43929</c:v>
                </c:pt>
                <c:pt idx="39">
                  <c:v>43930</c:v>
                </c:pt>
                <c:pt idx="40">
                  <c:v>43931</c:v>
                </c:pt>
                <c:pt idx="41">
                  <c:v>43932</c:v>
                </c:pt>
                <c:pt idx="42">
                  <c:v>43933</c:v>
                </c:pt>
                <c:pt idx="43">
                  <c:v>43934</c:v>
                </c:pt>
                <c:pt idx="44">
                  <c:v>43935</c:v>
                </c:pt>
                <c:pt idx="45">
                  <c:v>43936</c:v>
                </c:pt>
                <c:pt idx="46">
                  <c:v>43937</c:v>
                </c:pt>
                <c:pt idx="47">
                  <c:v>43938</c:v>
                </c:pt>
                <c:pt idx="48">
                  <c:v>43939</c:v>
                </c:pt>
                <c:pt idx="49">
                  <c:v>43940</c:v>
                </c:pt>
                <c:pt idx="50">
                  <c:v>43941</c:v>
                </c:pt>
                <c:pt idx="51">
                  <c:v>43942</c:v>
                </c:pt>
                <c:pt idx="52">
                  <c:v>43943</c:v>
                </c:pt>
                <c:pt idx="53">
                  <c:v>43944</c:v>
                </c:pt>
                <c:pt idx="54">
                  <c:v>43945</c:v>
                </c:pt>
                <c:pt idx="55">
                  <c:v>43946</c:v>
                </c:pt>
                <c:pt idx="56">
                  <c:v>43947</c:v>
                </c:pt>
                <c:pt idx="57">
                  <c:v>43948</c:v>
                </c:pt>
                <c:pt idx="58">
                  <c:v>43949</c:v>
                </c:pt>
                <c:pt idx="59">
                  <c:v>43950</c:v>
                </c:pt>
                <c:pt idx="60">
                  <c:v>43951</c:v>
                </c:pt>
              </c:numCache>
            </c:numRef>
          </c:cat>
          <c:val>
            <c:numRef>
              <c:f>'Figura 11'!$C$2:$C$62</c:f>
              <c:numCache>
                <c:formatCode>General</c:formatCode>
                <c:ptCount val="61"/>
                <c:pt idx="0">
                  <c:v>4</c:v>
                </c:pt>
                <c:pt idx="1">
                  <c:v>3</c:v>
                </c:pt>
                <c:pt idx="2">
                  <c:v>14</c:v>
                </c:pt>
                <c:pt idx="3">
                  <c:v>15</c:v>
                </c:pt>
                <c:pt idx="4">
                  <c:v>26</c:v>
                </c:pt>
                <c:pt idx="5">
                  <c:v>21</c:v>
                </c:pt>
                <c:pt idx="6">
                  <c:v>50</c:v>
                </c:pt>
                <c:pt idx="7">
                  <c:v>51</c:v>
                </c:pt>
                <c:pt idx="8">
                  <c:v>60</c:v>
                </c:pt>
                <c:pt idx="9">
                  <c:v>57</c:v>
                </c:pt>
                <c:pt idx="10">
                  <c:v>72</c:v>
                </c:pt>
                <c:pt idx="11">
                  <c:v>83</c:v>
                </c:pt>
                <c:pt idx="12">
                  <c:v>84</c:v>
                </c:pt>
                <c:pt idx="13">
                  <c:v>95</c:v>
                </c:pt>
                <c:pt idx="14">
                  <c:v>98</c:v>
                </c:pt>
                <c:pt idx="15">
                  <c:v>100</c:v>
                </c:pt>
                <c:pt idx="16">
                  <c:v>115</c:v>
                </c:pt>
                <c:pt idx="17">
                  <c:v>102</c:v>
                </c:pt>
                <c:pt idx="18">
                  <c:v>132</c:v>
                </c:pt>
                <c:pt idx="19">
                  <c:v>114</c:v>
                </c:pt>
                <c:pt idx="20">
                  <c:v>126</c:v>
                </c:pt>
                <c:pt idx="21">
                  <c:v>114</c:v>
                </c:pt>
                <c:pt idx="22">
                  <c:v>110</c:v>
                </c:pt>
                <c:pt idx="23">
                  <c:v>98</c:v>
                </c:pt>
                <c:pt idx="24">
                  <c:v>105</c:v>
                </c:pt>
                <c:pt idx="25">
                  <c:v>109</c:v>
                </c:pt>
                <c:pt idx="26">
                  <c:v>99</c:v>
                </c:pt>
                <c:pt idx="27">
                  <c:v>83</c:v>
                </c:pt>
                <c:pt idx="28">
                  <c:v>69</c:v>
                </c:pt>
                <c:pt idx="29">
                  <c:v>62</c:v>
                </c:pt>
                <c:pt idx="30">
                  <c:v>52</c:v>
                </c:pt>
                <c:pt idx="31">
                  <c:v>53</c:v>
                </c:pt>
                <c:pt idx="32">
                  <c:v>38</c:v>
                </c:pt>
                <c:pt idx="33">
                  <c:v>41</c:v>
                </c:pt>
                <c:pt idx="34">
                  <c:v>38</c:v>
                </c:pt>
                <c:pt idx="35">
                  <c:v>29</c:v>
                </c:pt>
                <c:pt idx="36">
                  <c:v>35</c:v>
                </c:pt>
                <c:pt idx="37">
                  <c:v>48</c:v>
                </c:pt>
                <c:pt idx="38">
                  <c:v>37</c:v>
                </c:pt>
                <c:pt idx="39">
                  <c:v>25</c:v>
                </c:pt>
                <c:pt idx="40">
                  <c:v>19</c:v>
                </c:pt>
                <c:pt idx="41">
                  <c:v>22</c:v>
                </c:pt>
                <c:pt idx="42">
                  <c:v>13</c:v>
                </c:pt>
                <c:pt idx="43">
                  <c:v>22</c:v>
                </c:pt>
                <c:pt idx="44">
                  <c:v>19</c:v>
                </c:pt>
                <c:pt idx="45">
                  <c:v>13</c:v>
                </c:pt>
                <c:pt idx="46">
                  <c:v>17</c:v>
                </c:pt>
                <c:pt idx="47">
                  <c:v>11</c:v>
                </c:pt>
                <c:pt idx="48">
                  <c:v>9</c:v>
                </c:pt>
                <c:pt idx="49">
                  <c:v>13</c:v>
                </c:pt>
                <c:pt idx="50">
                  <c:v>9</c:v>
                </c:pt>
                <c:pt idx="51">
                  <c:v>15</c:v>
                </c:pt>
                <c:pt idx="52">
                  <c:v>13</c:v>
                </c:pt>
                <c:pt idx="53">
                  <c:v>10</c:v>
                </c:pt>
                <c:pt idx="54">
                  <c:v>7</c:v>
                </c:pt>
                <c:pt idx="55">
                  <c:v>7</c:v>
                </c:pt>
                <c:pt idx="56">
                  <c:v>7</c:v>
                </c:pt>
                <c:pt idx="57">
                  <c:v>7</c:v>
                </c:pt>
                <c:pt idx="58">
                  <c:v>15</c:v>
                </c:pt>
                <c:pt idx="59">
                  <c:v>11</c:v>
                </c:pt>
                <c:pt idx="60">
                  <c:v>11</c:v>
                </c:pt>
              </c:numCache>
            </c:numRef>
          </c:val>
          <c:extLst xmlns:c16r2="http://schemas.microsoft.com/office/drawing/2015/06/chart">
            <c:ext xmlns:c16="http://schemas.microsoft.com/office/drawing/2014/chart" uri="{C3380CC4-5D6E-409C-BE32-E72D297353CC}">
              <c16:uniqueId val="{00000001-2ACE-4615-AC70-321AAF914637}"/>
            </c:ext>
          </c:extLst>
        </c:ser>
        <c:dLbls>
          <c:showLegendKey val="0"/>
          <c:showVal val="0"/>
          <c:showCatName val="0"/>
          <c:showSerName val="0"/>
          <c:showPercent val="0"/>
          <c:showBubbleSize val="0"/>
        </c:dLbls>
        <c:gapWidth val="80"/>
        <c:axId val="219865856"/>
        <c:axId val="219867392"/>
      </c:barChart>
      <c:dateAx>
        <c:axId val="219865856"/>
        <c:scaling>
          <c:orientation val="minMax"/>
        </c:scaling>
        <c:delete val="0"/>
        <c:axPos val="b"/>
        <c:majorGridlines>
          <c:spPr>
            <a:ln w="9525" cap="flat" cmpd="sng" algn="ctr">
              <a:solidFill>
                <a:schemeClr val="tx1">
                  <a:lumMod val="15000"/>
                  <a:lumOff val="85000"/>
                </a:schemeClr>
              </a:solidFill>
              <a:round/>
            </a:ln>
            <a:effectLst/>
          </c:spPr>
        </c:majorGridlines>
        <c:numFmt formatCode="d\-m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crossAx val="219867392"/>
        <c:crosses val="autoZero"/>
        <c:auto val="1"/>
        <c:lblOffset val="100"/>
        <c:baseTimeUnit val="days"/>
      </c:dateAx>
      <c:valAx>
        <c:axId val="219867392"/>
        <c:scaling>
          <c:orientation val="minMax"/>
          <c:max val="31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crossAx val="219865856"/>
        <c:crosses val="autoZero"/>
        <c:crossBetween val="between"/>
        <c:majorUnit val="50"/>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'Figura 12'!$B$1</c:f>
              <c:strCache>
                <c:ptCount val="1"/>
                <c:pt idx="0">
                  <c:v>eccesso di mortalità  2020 rispetto alla media 2015-2019</c:v>
                </c:pt>
              </c:strCache>
            </c:strRef>
          </c:tx>
          <c:spPr>
            <a:solidFill>
              <a:srgbClr val="002060"/>
            </a:solidFill>
            <a:ln>
              <a:noFill/>
            </a:ln>
            <a:effectLst/>
          </c:spPr>
          <c:invertIfNegative val="0"/>
          <c:cat>
            <c:numRef>
              <c:f>'Figura 12'!$A$2:$A$62</c:f>
              <c:numCache>
                <c:formatCode>d\-mmm</c:formatCode>
                <c:ptCount val="61"/>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pt idx="31">
                  <c:v>43922</c:v>
                </c:pt>
                <c:pt idx="32">
                  <c:v>43923</c:v>
                </c:pt>
                <c:pt idx="33">
                  <c:v>43924</c:v>
                </c:pt>
                <c:pt idx="34">
                  <c:v>43925</c:v>
                </c:pt>
                <c:pt idx="35">
                  <c:v>43926</c:v>
                </c:pt>
                <c:pt idx="36">
                  <c:v>43927</c:v>
                </c:pt>
                <c:pt idx="37">
                  <c:v>43928</c:v>
                </c:pt>
                <c:pt idx="38">
                  <c:v>43929</c:v>
                </c:pt>
                <c:pt idx="39">
                  <c:v>43930</c:v>
                </c:pt>
                <c:pt idx="40">
                  <c:v>43931</c:v>
                </c:pt>
                <c:pt idx="41">
                  <c:v>43932</c:v>
                </c:pt>
                <c:pt idx="42">
                  <c:v>43933</c:v>
                </c:pt>
                <c:pt idx="43">
                  <c:v>43934</c:v>
                </c:pt>
                <c:pt idx="44">
                  <c:v>43935</c:v>
                </c:pt>
                <c:pt idx="45">
                  <c:v>43936</c:v>
                </c:pt>
                <c:pt idx="46">
                  <c:v>43937</c:v>
                </c:pt>
                <c:pt idx="47">
                  <c:v>43938</c:v>
                </c:pt>
                <c:pt idx="48">
                  <c:v>43939</c:v>
                </c:pt>
                <c:pt idx="49">
                  <c:v>43940</c:v>
                </c:pt>
                <c:pt idx="50">
                  <c:v>43941</c:v>
                </c:pt>
                <c:pt idx="51">
                  <c:v>43942</c:v>
                </c:pt>
                <c:pt idx="52">
                  <c:v>43943</c:v>
                </c:pt>
                <c:pt idx="53">
                  <c:v>43944</c:v>
                </c:pt>
                <c:pt idx="54">
                  <c:v>43945</c:v>
                </c:pt>
                <c:pt idx="55">
                  <c:v>43946</c:v>
                </c:pt>
                <c:pt idx="56">
                  <c:v>43947</c:v>
                </c:pt>
                <c:pt idx="57">
                  <c:v>43948</c:v>
                </c:pt>
                <c:pt idx="58">
                  <c:v>43949</c:v>
                </c:pt>
                <c:pt idx="59">
                  <c:v>43950</c:v>
                </c:pt>
                <c:pt idx="60">
                  <c:v>43951</c:v>
                </c:pt>
              </c:numCache>
            </c:numRef>
          </c:cat>
          <c:val>
            <c:numRef>
              <c:f>'Figura 12'!$B$2:$B$62</c:f>
              <c:numCache>
                <c:formatCode>General</c:formatCode>
                <c:ptCount val="61"/>
                <c:pt idx="0">
                  <c:v>2.4</c:v>
                </c:pt>
                <c:pt idx="1">
                  <c:v>-0.40000000000000036</c:v>
                </c:pt>
                <c:pt idx="2">
                  <c:v>3.8000000000000003</c:v>
                </c:pt>
                <c:pt idx="3">
                  <c:v>5.4</c:v>
                </c:pt>
                <c:pt idx="4">
                  <c:v>15</c:v>
                </c:pt>
                <c:pt idx="5">
                  <c:v>6.9999999999999982</c:v>
                </c:pt>
                <c:pt idx="6">
                  <c:v>12</c:v>
                </c:pt>
                <c:pt idx="7">
                  <c:v>10.399999999999999</c:v>
                </c:pt>
                <c:pt idx="8">
                  <c:v>20.200000000000003</c:v>
                </c:pt>
                <c:pt idx="9">
                  <c:v>17.399999999999999</c:v>
                </c:pt>
                <c:pt idx="10">
                  <c:v>39.200000000000003</c:v>
                </c:pt>
                <c:pt idx="11">
                  <c:v>30.4</c:v>
                </c:pt>
                <c:pt idx="12">
                  <c:v>35</c:v>
                </c:pt>
                <c:pt idx="13">
                  <c:v>49.6</c:v>
                </c:pt>
                <c:pt idx="14">
                  <c:v>40.199999999999996</c:v>
                </c:pt>
                <c:pt idx="15">
                  <c:v>42.6</c:v>
                </c:pt>
                <c:pt idx="16">
                  <c:v>38.4</c:v>
                </c:pt>
                <c:pt idx="17">
                  <c:v>42.4</c:v>
                </c:pt>
                <c:pt idx="18">
                  <c:v>53.4</c:v>
                </c:pt>
                <c:pt idx="19">
                  <c:v>36.799999999999997</c:v>
                </c:pt>
                <c:pt idx="20">
                  <c:v>59.800000000000004</c:v>
                </c:pt>
                <c:pt idx="21">
                  <c:v>49.600000000000009</c:v>
                </c:pt>
                <c:pt idx="22">
                  <c:v>45.6</c:v>
                </c:pt>
                <c:pt idx="23">
                  <c:v>31.4</c:v>
                </c:pt>
                <c:pt idx="24">
                  <c:v>31</c:v>
                </c:pt>
                <c:pt idx="25">
                  <c:v>33.799999999999997</c:v>
                </c:pt>
                <c:pt idx="26">
                  <c:v>30.6</c:v>
                </c:pt>
                <c:pt idx="27">
                  <c:v>32</c:v>
                </c:pt>
                <c:pt idx="28">
                  <c:v>24.6</c:v>
                </c:pt>
                <c:pt idx="29">
                  <c:v>27.8</c:v>
                </c:pt>
                <c:pt idx="30">
                  <c:v>26.4</c:v>
                </c:pt>
                <c:pt idx="31">
                  <c:v>25.599999999999998</c:v>
                </c:pt>
                <c:pt idx="32">
                  <c:v>18.2</c:v>
                </c:pt>
                <c:pt idx="33">
                  <c:v>24</c:v>
                </c:pt>
                <c:pt idx="34">
                  <c:v>19.600000000000001</c:v>
                </c:pt>
                <c:pt idx="35">
                  <c:v>9.4</c:v>
                </c:pt>
                <c:pt idx="36">
                  <c:v>10.8</c:v>
                </c:pt>
                <c:pt idx="37">
                  <c:v>12</c:v>
                </c:pt>
                <c:pt idx="38">
                  <c:v>22.2</c:v>
                </c:pt>
                <c:pt idx="39">
                  <c:v>8.8000000000000007</c:v>
                </c:pt>
                <c:pt idx="40">
                  <c:v>16.8</c:v>
                </c:pt>
                <c:pt idx="41">
                  <c:v>6.6</c:v>
                </c:pt>
                <c:pt idx="42">
                  <c:v>7</c:v>
                </c:pt>
                <c:pt idx="43">
                  <c:v>11</c:v>
                </c:pt>
                <c:pt idx="44">
                  <c:v>15.399999999999999</c:v>
                </c:pt>
                <c:pt idx="45">
                  <c:v>14.200000000000001</c:v>
                </c:pt>
                <c:pt idx="46">
                  <c:v>7.4</c:v>
                </c:pt>
                <c:pt idx="47">
                  <c:v>6.6</c:v>
                </c:pt>
                <c:pt idx="48">
                  <c:v>15.6</c:v>
                </c:pt>
                <c:pt idx="49">
                  <c:v>-0.59999999999999976</c:v>
                </c:pt>
                <c:pt idx="50">
                  <c:v>7.2</c:v>
                </c:pt>
                <c:pt idx="51">
                  <c:v>4.4000000000000004</c:v>
                </c:pt>
                <c:pt idx="52">
                  <c:v>3.4</c:v>
                </c:pt>
                <c:pt idx="53">
                  <c:v>4</c:v>
                </c:pt>
                <c:pt idx="54">
                  <c:v>9.3999999999999986</c:v>
                </c:pt>
                <c:pt idx="55">
                  <c:v>11.200000000000001</c:v>
                </c:pt>
                <c:pt idx="56">
                  <c:v>4.8</c:v>
                </c:pt>
                <c:pt idx="57">
                  <c:v>1.7999999999999998</c:v>
                </c:pt>
                <c:pt idx="58">
                  <c:v>7.8000000000000007</c:v>
                </c:pt>
                <c:pt idx="59">
                  <c:v>5.2000000000000011</c:v>
                </c:pt>
                <c:pt idx="60">
                  <c:v>6</c:v>
                </c:pt>
              </c:numCache>
            </c:numRef>
          </c:val>
          <c:extLst xmlns:c16r2="http://schemas.microsoft.com/office/drawing/2015/06/chart">
            <c:ext xmlns:c16="http://schemas.microsoft.com/office/drawing/2014/chart" uri="{C3380CC4-5D6E-409C-BE32-E72D297353CC}">
              <c16:uniqueId val="{00000000-02C3-4231-AD63-30463B5C1BD9}"/>
            </c:ext>
          </c:extLst>
        </c:ser>
        <c:ser>
          <c:idx val="1"/>
          <c:order val="1"/>
          <c:tx>
            <c:strRef>
              <c:f>'Figura 12'!$C$1</c:f>
              <c:strCache>
                <c:ptCount val="1"/>
                <c:pt idx="0">
                  <c:v>decessi covid-19</c:v>
                </c:pt>
              </c:strCache>
            </c:strRef>
          </c:tx>
          <c:spPr>
            <a:solidFill>
              <a:srgbClr val="FFC000"/>
            </a:solidFill>
            <a:ln>
              <a:noFill/>
            </a:ln>
            <a:effectLst/>
          </c:spPr>
          <c:invertIfNegative val="0"/>
          <c:cat>
            <c:numRef>
              <c:f>'Figura 12'!$A$2:$A$62</c:f>
              <c:numCache>
                <c:formatCode>d\-mmm</c:formatCode>
                <c:ptCount val="61"/>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pt idx="31">
                  <c:v>43922</c:v>
                </c:pt>
                <c:pt idx="32">
                  <c:v>43923</c:v>
                </c:pt>
                <c:pt idx="33">
                  <c:v>43924</c:v>
                </c:pt>
                <c:pt idx="34">
                  <c:v>43925</c:v>
                </c:pt>
                <c:pt idx="35">
                  <c:v>43926</c:v>
                </c:pt>
                <c:pt idx="36">
                  <c:v>43927</c:v>
                </c:pt>
                <c:pt idx="37">
                  <c:v>43928</c:v>
                </c:pt>
                <c:pt idx="38">
                  <c:v>43929</c:v>
                </c:pt>
                <c:pt idx="39">
                  <c:v>43930</c:v>
                </c:pt>
                <c:pt idx="40">
                  <c:v>43931</c:v>
                </c:pt>
                <c:pt idx="41">
                  <c:v>43932</c:v>
                </c:pt>
                <c:pt idx="42">
                  <c:v>43933</c:v>
                </c:pt>
                <c:pt idx="43">
                  <c:v>43934</c:v>
                </c:pt>
                <c:pt idx="44">
                  <c:v>43935</c:v>
                </c:pt>
                <c:pt idx="45">
                  <c:v>43936</c:v>
                </c:pt>
                <c:pt idx="46">
                  <c:v>43937</c:v>
                </c:pt>
                <c:pt idx="47">
                  <c:v>43938</c:v>
                </c:pt>
                <c:pt idx="48">
                  <c:v>43939</c:v>
                </c:pt>
                <c:pt idx="49">
                  <c:v>43940</c:v>
                </c:pt>
                <c:pt idx="50">
                  <c:v>43941</c:v>
                </c:pt>
                <c:pt idx="51">
                  <c:v>43942</c:v>
                </c:pt>
                <c:pt idx="52">
                  <c:v>43943</c:v>
                </c:pt>
                <c:pt idx="53">
                  <c:v>43944</c:v>
                </c:pt>
                <c:pt idx="54">
                  <c:v>43945</c:v>
                </c:pt>
                <c:pt idx="55">
                  <c:v>43946</c:v>
                </c:pt>
                <c:pt idx="56">
                  <c:v>43947</c:v>
                </c:pt>
                <c:pt idx="57">
                  <c:v>43948</c:v>
                </c:pt>
                <c:pt idx="58">
                  <c:v>43949</c:v>
                </c:pt>
                <c:pt idx="59">
                  <c:v>43950</c:v>
                </c:pt>
                <c:pt idx="60">
                  <c:v>43951</c:v>
                </c:pt>
              </c:numCache>
            </c:numRef>
          </c:cat>
          <c:val>
            <c:numRef>
              <c:f>'Figura 12'!$C$2:$C$62</c:f>
              <c:numCache>
                <c:formatCode>General</c:formatCode>
                <c:ptCount val="61"/>
                <c:pt idx="0">
                  <c:v>1</c:v>
                </c:pt>
                <c:pt idx="1">
                  <c:v>3</c:v>
                </c:pt>
                <c:pt idx="2">
                  <c:v>3</c:v>
                </c:pt>
                <c:pt idx="3">
                  <c:v>7</c:v>
                </c:pt>
                <c:pt idx="4">
                  <c:v>6</c:v>
                </c:pt>
                <c:pt idx="5">
                  <c:v>5</c:v>
                </c:pt>
                <c:pt idx="6">
                  <c:v>8</c:v>
                </c:pt>
                <c:pt idx="7">
                  <c:v>9</c:v>
                </c:pt>
                <c:pt idx="8">
                  <c:v>8</c:v>
                </c:pt>
                <c:pt idx="9">
                  <c:v>17</c:v>
                </c:pt>
                <c:pt idx="10">
                  <c:v>30</c:v>
                </c:pt>
                <c:pt idx="11">
                  <c:v>16</c:v>
                </c:pt>
                <c:pt idx="12">
                  <c:v>17</c:v>
                </c:pt>
                <c:pt idx="13">
                  <c:v>40</c:v>
                </c:pt>
                <c:pt idx="14">
                  <c:v>21</c:v>
                </c:pt>
                <c:pt idx="15">
                  <c:v>26</c:v>
                </c:pt>
                <c:pt idx="16">
                  <c:v>23</c:v>
                </c:pt>
                <c:pt idx="17">
                  <c:v>24</c:v>
                </c:pt>
                <c:pt idx="18">
                  <c:v>29</c:v>
                </c:pt>
                <c:pt idx="19">
                  <c:v>28</c:v>
                </c:pt>
                <c:pt idx="20">
                  <c:v>43</c:v>
                </c:pt>
                <c:pt idx="21">
                  <c:v>27</c:v>
                </c:pt>
                <c:pt idx="22">
                  <c:v>35</c:v>
                </c:pt>
                <c:pt idx="23">
                  <c:v>21</c:v>
                </c:pt>
                <c:pt idx="24">
                  <c:v>20</c:v>
                </c:pt>
                <c:pt idx="25">
                  <c:v>20</c:v>
                </c:pt>
                <c:pt idx="26">
                  <c:v>26</c:v>
                </c:pt>
                <c:pt idx="27">
                  <c:v>31</c:v>
                </c:pt>
                <c:pt idx="28">
                  <c:v>21</c:v>
                </c:pt>
                <c:pt idx="29">
                  <c:v>27</c:v>
                </c:pt>
                <c:pt idx="30">
                  <c:v>17</c:v>
                </c:pt>
                <c:pt idx="31">
                  <c:v>10</c:v>
                </c:pt>
                <c:pt idx="32">
                  <c:v>19</c:v>
                </c:pt>
                <c:pt idx="33">
                  <c:v>14</c:v>
                </c:pt>
                <c:pt idx="34">
                  <c:v>17</c:v>
                </c:pt>
                <c:pt idx="35">
                  <c:v>7</c:v>
                </c:pt>
                <c:pt idx="36">
                  <c:v>8</c:v>
                </c:pt>
                <c:pt idx="37">
                  <c:v>12</c:v>
                </c:pt>
                <c:pt idx="38">
                  <c:v>15</c:v>
                </c:pt>
                <c:pt idx="39">
                  <c:v>9</c:v>
                </c:pt>
                <c:pt idx="40">
                  <c:v>13</c:v>
                </c:pt>
                <c:pt idx="41">
                  <c:v>6</c:v>
                </c:pt>
                <c:pt idx="42">
                  <c:v>10</c:v>
                </c:pt>
                <c:pt idx="43">
                  <c:v>6</c:v>
                </c:pt>
                <c:pt idx="44">
                  <c:v>7</c:v>
                </c:pt>
                <c:pt idx="45">
                  <c:v>8</c:v>
                </c:pt>
                <c:pt idx="46">
                  <c:v>8</c:v>
                </c:pt>
                <c:pt idx="47">
                  <c:v>7</c:v>
                </c:pt>
                <c:pt idx="48">
                  <c:v>13</c:v>
                </c:pt>
                <c:pt idx="49">
                  <c:v>4</c:v>
                </c:pt>
                <c:pt idx="50">
                  <c:v>9</c:v>
                </c:pt>
                <c:pt idx="51">
                  <c:v>6</c:v>
                </c:pt>
                <c:pt idx="52">
                  <c:v>4</c:v>
                </c:pt>
                <c:pt idx="53">
                  <c:v>6</c:v>
                </c:pt>
                <c:pt idx="54">
                  <c:v>6</c:v>
                </c:pt>
                <c:pt idx="55">
                  <c:v>10</c:v>
                </c:pt>
                <c:pt idx="56">
                  <c:v>7</c:v>
                </c:pt>
                <c:pt idx="57">
                  <c:v>7</c:v>
                </c:pt>
                <c:pt idx="58">
                  <c:v>5</c:v>
                </c:pt>
                <c:pt idx="59">
                  <c:v>6</c:v>
                </c:pt>
                <c:pt idx="60">
                  <c:v>8</c:v>
                </c:pt>
              </c:numCache>
            </c:numRef>
          </c:val>
          <c:extLst xmlns:c16r2="http://schemas.microsoft.com/office/drawing/2015/06/chart">
            <c:ext xmlns:c16="http://schemas.microsoft.com/office/drawing/2014/chart" uri="{C3380CC4-5D6E-409C-BE32-E72D297353CC}">
              <c16:uniqueId val="{00000001-02C3-4231-AD63-30463B5C1BD9}"/>
            </c:ext>
          </c:extLst>
        </c:ser>
        <c:dLbls>
          <c:showLegendKey val="0"/>
          <c:showVal val="0"/>
          <c:showCatName val="0"/>
          <c:showSerName val="0"/>
          <c:showPercent val="0"/>
          <c:showBubbleSize val="0"/>
        </c:dLbls>
        <c:gapWidth val="150"/>
        <c:axId val="219979776"/>
        <c:axId val="219981312"/>
      </c:barChart>
      <c:dateAx>
        <c:axId val="219979776"/>
        <c:scaling>
          <c:orientation val="minMax"/>
        </c:scaling>
        <c:delete val="0"/>
        <c:axPos val="b"/>
        <c:majorGridlines>
          <c:spPr>
            <a:ln w="9525" cap="flat" cmpd="sng" algn="ctr">
              <a:solidFill>
                <a:schemeClr val="tx1">
                  <a:lumMod val="15000"/>
                  <a:lumOff val="85000"/>
                </a:schemeClr>
              </a:solidFill>
              <a:round/>
            </a:ln>
            <a:effectLst/>
          </c:spPr>
        </c:majorGridlines>
        <c:numFmt formatCode="d\-m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crossAx val="219981312"/>
        <c:crosses val="autoZero"/>
        <c:auto val="1"/>
        <c:lblOffset val="100"/>
        <c:baseTimeUnit val="days"/>
      </c:dateAx>
      <c:valAx>
        <c:axId val="219981312"/>
        <c:scaling>
          <c:orientation val="minMax"/>
          <c:max val="6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crossAx val="219979776"/>
        <c:crosses val="autoZero"/>
        <c:crossBetween val="between"/>
        <c:majorUnit val="10"/>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286670381184714E-2"/>
          <c:y val="0.17744571561989259"/>
          <c:w val="0.91888701710584575"/>
          <c:h val="0.53711376785349885"/>
        </c:manualLayout>
      </c:layout>
      <c:barChart>
        <c:barDir val="col"/>
        <c:grouping val="stacked"/>
        <c:varyColors val="0"/>
        <c:ser>
          <c:idx val="0"/>
          <c:order val="0"/>
          <c:tx>
            <c:strRef>
              <c:f>'Figura 13'!$B$1</c:f>
              <c:strCache>
                <c:ptCount val="1"/>
                <c:pt idx="0">
                  <c:v>50-59 - decessi Covid-19</c:v>
                </c:pt>
              </c:strCache>
            </c:strRef>
          </c:tx>
          <c:spPr>
            <a:solidFill>
              <a:srgbClr val="7030A0"/>
            </a:solidFill>
            <a:ln w="12700">
              <a:solidFill>
                <a:srgbClr val="7030A0"/>
              </a:solidFill>
            </a:ln>
            <a:effectLst/>
          </c:spPr>
          <c:invertIfNegative val="0"/>
          <c:cat>
            <c:strRef>
              <c:f>'Figura 13'!$A$2:$A$10</c:f>
              <c:strCache>
                <c:ptCount val="9"/>
                <c:pt idx="0">
                  <c:v>1-7 marzo</c:v>
                </c:pt>
                <c:pt idx="1">
                  <c:v>8-14 marzo</c:v>
                </c:pt>
                <c:pt idx="2">
                  <c:v>15-21 marzo</c:v>
                </c:pt>
                <c:pt idx="3">
                  <c:v>22-28 marzo</c:v>
                </c:pt>
                <c:pt idx="4">
                  <c:v>29 marzo - 4 aprile</c:v>
                </c:pt>
                <c:pt idx="5">
                  <c:v>5-11 aprile</c:v>
                </c:pt>
                <c:pt idx="6">
                  <c:v>12-18 aprile</c:v>
                </c:pt>
                <c:pt idx="7">
                  <c:v>19-25 aprile</c:v>
                </c:pt>
                <c:pt idx="8">
                  <c:v>26-30 aprile</c:v>
                </c:pt>
              </c:strCache>
            </c:strRef>
          </c:cat>
          <c:val>
            <c:numRef>
              <c:f>'Figura 13'!$B$2:$B$10</c:f>
              <c:numCache>
                <c:formatCode>@</c:formatCode>
                <c:ptCount val="9"/>
                <c:pt idx="0">
                  <c:v>8</c:v>
                </c:pt>
                <c:pt idx="1">
                  <c:v>43</c:v>
                </c:pt>
                <c:pt idx="2">
                  <c:v>103</c:v>
                </c:pt>
                <c:pt idx="3">
                  <c:v>146</c:v>
                </c:pt>
                <c:pt idx="4">
                  <c:v>104</c:v>
                </c:pt>
                <c:pt idx="5">
                  <c:v>81</c:v>
                </c:pt>
                <c:pt idx="6">
                  <c:v>45</c:v>
                </c:pt>
                <c:pt idx="7">
                  <c:v>38</c:v>
                </c:pt>
                <c:pt idx="8">
                  <c:v>21</c:v>
                </c:pt>
              </c:numCache>
            </c:numRef>
          </c:val>
          <c:extLst xmlns:c16r2="http://schemas.microsoft.com/office/drawing/2015/06/chart">
            <c:ext xmlns:c16="http://schemas.microsoft.com/office/drawing/2014/chart" uri="{C3380CC4-5D6E-409C-BE32-E72D297353CC}">
              <c16:uniqueId val="{00000000-E735-4406-A0CC-AC3C62CBFF31}"/>
            </c:ext>
          </c:extLst>
        </c:ser>
        <c:ser>
          <c:idx val="1"/>
          <c:order val="1"/>
          <c:tx>
            <c:strRef>
              <c:f>'Figura 13'!$C$1</c:f>
              <c:strCache>
                <c:ptCount val="1"/>
                <c:pt idx="0">
                  <c:v>50-59 - eccesso 2020 - No Covid-19</c:v>
                </c:pt>
              </c:strCache>
            </c:strRef>
          </c:tx>
          <c:spPr>
            <a:noFill/>
            <a:ln w="12700">
              <a:solidFill>
                <a:srgbClr val="7030A0"/>
              </a:solidFill>
            </a:ln>
            <a:effectLst/>
          </c:spPr>
          <c:invertIfNegative val="0"/>
          <c:cat>
            <c:strRef>
              <c:f>'Figura 13'!$A$2:$A$10</c:f>
              <c:strCache>
                <c:ptCount val="9"/>
                <c:pt idx="0">
                  <c:v>1-7 marzo</c:v>
                </c:pt>
                <c:pt idx="1">
                  <c:v>8-14 marzo</c:v>
                </c:pt>
                <c:pt idx="2">
                  <c:v>15-21 marzo</c:v>
                </c:pt>
                <c:pt idx="3">
                  <c:v>22-28 marzo</c:v>
                </c:pt>
                <c:pt idx="4">
                  <c:v>29 marzo - 4 aprile</c:v>
                </c:pt>
                <c:pt idx="5">
                  <c:v>5-11 aprile</c:v>
                </c:pt>
                <c:pt idx="6">
                  <c:v>12-18 aprile</c:v>
                </c:pt>
                <c:pt idx="7">
                  <c:v>19-25 aprile</c:v>
                </c:pt>
                <c:pt idx="8">
                  <c:v>26-30 aprile</c:v>
                </c:pt>
              </c:strCache>
            </c:strRef>
          </c:cat>
          <c:val>
            <c:numRef>
              <c:f>'Figura 13'!$C$2:$C$10</c:f>
              <c:numCache>
                <c:formatCode>@</c:formatCode>
                <c:ptCount val="9"/>
                <c:pt idx="0">
                  <c:v>10</c:v>
                </c:pt>
                <c:pt idx="1">
                  <c:v>25</c:v>
                </c:pt>
                <c:pt idx="2">
                  <c:v>7.2</c:v>
                </c:pt>
                <c:pt idx="3">
                  <c:v>33.200000000000003</c:v>
                </c:pt>
                <c:pt idx="4">
                  <c:v>-12.4</c:v>
                </c:pt>
                <c:pt idx="5">
                  <c:v>-4.4000000000000004</c:v>
                </c:pt>
                <c:pt idx="6">
                  <c:v>-31.4</c:v>
                </c:pt>
                <c:pt idx="7">
                  <c:v>-14.4</c:v>
                </c:pt>
                <c:pt idx="8">
                  <c:v>-16.600000000000001</c:v>
                </c:pt>
              </c:numCache>
            </c:numRef>
          </c:val>
          <c:extLst xmlns:c16r2="http://schemas.microsoft.com/office/drawing/2015/06/chart">
            <c:ext xmlns:c16="http://schemas.microsoft.com/office/drawing/2014/chart" uri="{C3380CC4-5D6E-409C-BE32-E72D297353CC}">
              <c16:uniqueId val="{00000001-E735-4406-A0CC-AC3C62CBFF31}"/>
            </c:ext>
          </c:extLst>
        </c:ser>
        <c:ser>
          <c:idx val="2"/>
          <c:order val="2"/>
          <c:tx>
            <c:strRef>
              <c:f>'Figura 13'!$D$1</c:f>
              <c:strCache>
                <c:ptCount val="1"/>
                <c:pt idx="0">
                  <c:v>60-69 - decessi Covid-19</c:v>
                </c:pt>
              </c:strCache>
            </c:strRef>
          </c:tx>
          <c:spPr>
            <a:solidFill>
              <a:srgbClr val="FFC000"/>
            </a:solidFill>
            <a:ln w="12700">
              <a:solidFill>
                <a:srgbClr val="FFC000"/>
              </a:solidFill>
            </a:ln>
            <a:effectLst/>
          </c:spPr>
          <c:invertIfNegative val="0"/>
          <c:cat>
            <c:strRef>
              <c:f>'Figura 13'!$A$2:$A$10</c:f>
              <c:strCache>
                <c:ptCount val="9"/>
                <c:pt idx="0">
                  <c:v>1-7 marzo</c:v>
                </c:pt>
                <c:pt idx="1">
                  <c:v>8-14 marzo</c:v>
                </c:pt>
                <c:pt idx="2">
                  <c:v>15-21 marzo</c:v>
                </c:pt>
                <c:pt idx="3">
                  <c:v>22-28 marzo</c:v>
                </c:pt>
                <c:pt idx="4">
                  <c:v>29 marzo - 4 aprile</c:v>
                </c:pt>
                <c:pt idx="5">
                  <c:v>5-11 aprile</c:v>
                </c:pt>
                <c:pt idx="6">
                  <c:v>12-18 aprile</c:v>
                </c:pt>
                <c:pt idx="7">
                  <c:v>19-25 aprile</c:v>
                </c:pt>
                <c:pt idx="8">
                  <c:v>26-30 aprile</c:v>
                </c:pt>
              </c:strCache>
            </c:strRef>
          </c:cat>
          <c:val>
            <c:numRef>
              <c:f>'Figura 13'!$D$2:$D$10</c:f>
              <c:numCache>
                <c:formatCode>General</c:formatCode>
                <c:ptCount val="9"/>
                <c:pt idx="0">
                  <c:v>33</c:v>
                </c:pt>
                <c:pt idx="1">
                  <c:v>130</c:v>
                </c:pt>
                <c:pt idx="2">
                  <c:v>363</c:v>
                </c:pt>
                <c:pt idx="3">
                  <c:v>472</c:v>
                </c:pt>
                <c:pt idx="4">
                  <c:v>321</c:v>
                </c:pt>
                <c:pt idx="5">
                  <c:v>228</c:v>
                </c:pt>
                <c:pt idx="6">
                  <c:v>156</c:v>
                </c:pt>
                <c:pt idx="7">
                  <c:v>112</c:v>
                </c:pt>
                <c:pt idx="8">
                  <c:v>60</c:v>
                </c:pt>
              </c:numCache>
            </c:numRef>
          </c:val>
          <c:extLst xmlns:c16r2="http://schemas.microsoft.com/office/drawing/2015/06/chart">
            <c:ext xmlns:c16="http://schemas.microsoft.com/office/drawing/2014/chart" uri="{C3380CC4-5D6E-409C-BE32-E72D297353CC}">
              <c16:uniqueId val="{00000002-E735-4406-A0CC-AC3C62CBFF31}"/>
            </c:ext>
          </c:extLst>
        </c:ser>
        <c:ser>
          <c:idx val="3"/>
          <c:order val="3"/>
          <c:tx>
            <c:strRef>
              <c:f>'Figura 13'!$E$1</c:f>
              <c:strCache>
                <c:ptCount val="1"/>
                <c:pt idx="0">
                  <c:v>60-69 - eccesso 2020 - No Covid-19</c:v>
                </c:pt>
              </c:strCache>
            </c:strRef>
          </c:tx>
          <c:spPr>
            <a:noFill/>
            <a:ln w="12700">
              <a:solidFill>
                <a:srgbClr val="FFC000"/>
              </a:solidFill>
            </a:ln>
            <a:effectLst/>
          </c:spPr>
          <c:invertIfNegative val="0"/>
          <c:cat>
            <c:strRef>
              <c:f>'Figura 13'!$A$2:$A$10</c:f>
              <c:strCache>
                <c:ptCount val="9"/>
                <c:pt idx="0">
                  <c:v>1-7 marzo</c:v>
                </c:pt>
                <c:pt idx="1">
                  <c:v>8-14 marzo</c:v>
                </c:pt>
                <c:pt idx="2">
                  <c:v>15-21 marzo</c:v>
                </c:pt>
                <c:pt idx="3">
                  <c:v>22-28 marzo</c:v>
                </c:pt>
                <c:pt idx="4">
                  <c:v>29 marzo - 4 aprile</c:v>
                </c:pt>
                <c:pt idx="5">
                  <c:v>5-11 aprile</c:v>
                </c:pt>
                <c:pt idx="6">
                  <c:v>12-18 aprile</c:v>
                </c:pt>
                <c:pt idx="7">
                  <c:v>19-25 aprile</c:v>
                </c:pt>
                <c:pt idx="8">
                  <c:v>26-30 aprile</c:v>
                </c:pt>
              </c:strCache>
            </c:strRef>
          </c:cat>
          <c:val>
            <c:numRef>
              <c:f>'Figura 13'!$E$2:$E$10</c:f>
              <c:numCache>
                <c:formatCode>General</c:formatCode>
                <c:ptCount val="9"/>
                <c:pt idx="0">
                  <c:v>2</c:v>
                </c:pt>
                <c:pt idx="1">
                  <c:v>49.2</c:v>
                </c:pt>
                <c:pt idx="2">
                  <c:v>95.2</c:v>
                </c:pt>
                <c:pt idx="3">
                  <c:v>89.4</c:v>
                </c:pt>
                <c:pt idx="4">
                  <c:v>11.6</c:v>
                </c:pt>
                <c:pt idx="5">
                  <c:v>3.8</c:v>
                </c:pt>
                <c:pt idx="6">
                  <c:v>-22.2</c:v>
                </c:pt>
                <c:pt idx="7">
                  <c:v>-72.400000000000006</c:v>
                </c:pt>
                <c:pt idx="8">
                  <c:v>-35</c:v>
                </c:pt>
              </c:numCache>
            </c:numRef>
          </c:val>
          <c:extLst xmlns:c16r2="http://schemas.microsoft.com/office/drawing/2015/06/chart">
            <c:ext xmlns:c16="http://schemas.microsoft.com/office/drawing/2014/chart" uri="{C3380CC4-5D6E-409C-BE32-E72D297353CC}">
              <c16:uniqueId val="{00000003-E735-4406-A0CC-AC3C62CBFF31}"/>
            </c:ext>
          </c:extLst>
        </c:ser>
        <c:ser>
          <c:idx val="4"/>
          <c:order val="4"/>
          <c:tx>
            <c:strRef>
              <c:f>'Figura 13'!$F$1</c:f>
              <c:strCache>
                <c:ptCount val="1"/>
                <c:pt idx="0">
                  <c:v>70-79 - decessi Covid-19</c:v>
                </c:pt>
              </c:strCache>
            </c:strRef>
          </c:tx>
          <c:spPr>
            <a:solidFill>
              <a:srgbClr val="00B0F0"/>
            </a:solidFill>
            <a:ln w="12700">
              <a:solidFill>
                <a:srgbClr val="00B0F0"/>
              </a:solidFill>
            </a:ln>
            <a:effectLst/>
          </c:spPr>
          <c:invertIfNegative val="0"/>
          <c:cat>
            <c:strRef>
              <c:f>'Figura 13'!$A$2:$A$10</c:f>
              <c:strCache>
                <c:ptCount val="9"/>
                <c:pt idx="0">
                  <c:v>1-7 marzo</c:v>
                </c:pt>
                <c:pt idx="1">
                  <c:v>8-14 marzo</c:v>
                </c:pt>
                <c:pt idx="2">
                  <c:v>15-21 marzo</c:v>
                </c:pt>
                <c:pt idx="3">
                  <c:v>22-28 marzo</c:v>
                </c:pt>
                <c:pt idx="4">
                  <c:v>29 marzo - 4 aprile</c:v>
                </c:pt>
                <c:pt idx="5">
                  <c:v>5-11 aprile</c:v>
                </c:pt>
                <c:pt idx="6">
                  <c:v>12-18 aprile</c:v>
                </c:pt>
                <c:pt idx="7">
                  <c:v>19-25 aprile</c:v>
                </c:pt>
                <c:pt idx="8">
                  <c:v>26-30 aprile</c:v>
                </c:pt>
              </c:strCache>
            </c:strRef>
          </c:cat>
          <c:val>
            <c:numRef>
              <c:f>'Figura 13'!$F$2:$F$10</c:f>
              <c:numCache>
                <c:formatCode>General</c:formatCode>
                <c:ptCount val="9"/>
                <c:pt idx="0">
                  <c:v>124</c:v>
                </c:pt>
                <c:pt idx="1">
                  <c:v>544</c:v>
                </c:pt>
                <c:pt idx="2">
                  <c:v>1003</c:v>
                </c:pt>
                <c:pt idx="3">
                  <c:v>1167</c:v>
                </c:pt>
                <c:pt idx="4">
                  <c:v>786</c:v>
                </c:pt>
                <c:pt idx="5">
                  <c:v>449</c:v>
                </c:pt>
                <c:pt idx="6">
                  <c:v>311</c:v>
                </c:pt>
                <c:pt idx="7">
                  <c:v>185</c:v>
                </c:pt>
                <c:pt idx="8">
                  <c:v>110</c:v>
                </c:pt>
              </c:numCache>
            </c:numRef>
          </c:val>
          <c:extLst xmlns:c16r2="http://schemas.microsoft.com/office/drawing/2015/06/chart">
            <c:ext xmlns:c16="http://schemas.microsoft.com/office/drawing/2014/chart" uri="{C3380CC4-5D6E-409C-BE32-E72D297353CC}">
              <c16:uniqueId val="{00000004-E735-4406-A0CC-AC3C62CBFF31}"/>
            </c:ext>
          </c:extLst>
        </c:ser>
        <c:ser>
          <c:idx val="5"/>
          <c:order val="5"/>
          <c:tx>
            <c:strRef>
              <c:f>'Figura 13'!$G$1</c:f>
              <c:strCache>
                <c:ptCount val="1"/>
                <c:pt idx="0">
                  <c:v>70-79 - eccesso 2020 - No Covid-19</c:v>
                </c:pt>
              </c:strCache>
            </c:strRef>
          </c:tx>
          <c:spPr>
            <a:noFill/>
            <a:ln w="12700">
              <a:solidFill>
                <a:srgbClr val="00B0F0"/>
              </a:solidFill>
            </a:ln>
            <a:effectLst/>
          </c:spPr>
          <c:invertIfNegative val="0"/>
          <c:cat>
            <c:strRef>
              <c:f>'Figura 13'!$A$2:$A$10</c:f>
              <c:strCache>
                <c:ptCount val="9"/>
                <c:pt idx="0">
                  <c:v>1-7 marzo</c:v>
                </c:pt>
                <c:pt idx="1">
                  <c:v>8-14 marzo</c:v>
                </c:pt>
                <c:pt idx="2">
                  <c:v>15-21 marzo</c:v>
                </c:pt>
                <c:pt idx="3">
                  <c:v>22-28 marzo</c:v>
                </c:pt>
                <c:pt idx="4">
                  <c:v>29 marzo - 4 aprile</c:v>
                </c:pt>
                <c:pt idx="5">
                  <c:v>5-11 aprile</c:v>
                </c:pt>
                <c:pt idx="6">
                  <c:v>12-18 aprile</c:v>
                </c:pt>
                <c:pt idx="7">
                  <c:v>19-25 aprile</c:v>
                </c:pt>
                <c:pt idx="8">
                  <c:v>26-30 aprile</c:v>
                </c:pt>
              </c:strCache>
            </c:strRef>
          </c:cat>
          <c:val>
            <c:numRef>
              <c:f>'Figura 13'!$G$2:$G$10</c:f>
              <c:numCache>
                <c:formatCode>General</c:formatCode>
                <c:ptCount val="9"/>
                <c:pt idx="0">
                  <c:v>22.8</c:v>
                </c:pt>
                <c:pt idx="1">
                  <c:v>181.2</c:v>
                </c:pt>
                <c:pt idx="2">
                  <c:v>378.6</c:v>
                </c:pt>
                <c:pt idx="3">
                  <c:v>380.8</c:v>
                </c:pt>
                <c:pt idx="4">
                  <c:v>124.4</c:v>
                </c:pt>
                <c:pt idx="5">
                  <c:v>94</c:v>
                </c:pt>
                <c:pt idx="6">
                  <c:v>18.399999999999999</c:v>
                </c:pt>
                <c:pt idx="7">
                  <c:v>-104.2</c:v>
                </c:pt>
                <c:pt idx="8">
                  <c:v>-89.6</c:v>
                </c:pt>
              </c:numCache>
            </c:numRef>
          </c:val>
          <c:extLst xmlns:c16r2="http://schemas.microsoft.com/office/drawing/2015/06/chart">
            <c:ext xmlns:c16="http://schemas.microsoft.com/office/drawing/2014/chart" uri="{C3380CC4-5D6E-409C-BE32-E72D297353CC}">
              <c16:uniqueId val="{00000005-E735-4406-A0CC-AC3C62CBFF31}"/>
            </c:ext>
          </c:extLst>
        </c:ser>
        <c:ser>
          <c:idx val="6"/>
          <c:order val="6"/>
          <c:tx>
            <c:strRef>
              <c:f>'Figura 13'!$H$1</c:f>
              <c:strCache>
                <c:ptCount val="1"/>
                <c:pt idx="0">
                  <c:v>80-89 - decessi Covid-19</c:v>
                </c:pt>
              </c:strCache>
            </c:strRef>
          </c:tx>
          <c:spPr>
            <a:solidFill>
              <a:srgbClr val="92D050"/>
            </a:solidFill>
            <a:ln w="12700">
              <a:solidFill>
                <a:srgbClr val="92D050"/>
              </a:solidFill>
            </a:ln>
            <a:effectLst/>
          </c:spPr>
          <c:invertIfNegative val="0"/>
          <c:cat>
            <c:strRef>
              <c:f>'Figura 13'!$A$2:$A$10</c:f>
              <c:strCache>
                <c:ptCount val="9"/>
                <c:pt idx="0">
                  <c:v>1-7 marzo</c:v>
                </c:pt>
                <c:pt idx="1">
                  <c:v>8-14 marzo</c:v>
                </c:pt>
                <c:pt idx="2">
                  <c:v>15-21 marzo</c:v>
                </c:pt>
                <c:pt idx="3">
                  <c:v>22-28 marzo</c:v>
                </c:pt>
                <c:pt idx="4">
                  <c:v>29 marzo - 4 aprile</c:v>
                </c:pt>
                <c:pt idx="5">
                  <c:v>5-11 aprile</c:v>
                </c:pt>
                <c:pt idx="6">
                  <c:v>12-18 aprile</c:v>
                </c:pt>
                <c:pt idx="7">
                  <c:v>19-25 aprile</c:v>
                </c:pt>
                <c:pt idx="8">
                  <c:v>26-30 aprile</c:v>
                </c:pt>
              </c:strCache>
            </c:strRef>
          </c:cat>
          <c:val>
            <c:numRef>
              <c:f>'Figura 13'!$H$2:$H$10</c:f>
              <c:numCache>
                <c:formatCode>General</c:formatCode>
                <c:ptCount val="9"/>
                <c:pt idx="0">
                  <c:v>152</c:v>
                </c:pt>
                <c:pt idx="1">
                  <c:v>585</c:v>
                </c:pt>
                <c:pt idx="2">
                  <c:v>957</c:v>
                </c:pt>
                <c:pt idx="3">
                  <c:v>1177</c:v>
                </c:pt>
                <c:pt idx="4">
                  <c:v>916</c:v>
                </c:pt>
                <c:pt idx="5">
                  <c:v>688</c:v>
                </c:pt>
                <c:pt idx="6">
                  <c:v>456</c:v>
                </c:pt>
                <c:pt idx="7">
                  <c:v>310</c:v>
                </c:pt>
                <c:pt idx="8">
                  <c:v>175</c:v>
                </c:pt>
              </c:numCache>
            </c:numRef>
          </c:val>
          <c:extLst xmlns:c16r2="http://schemas.microsoft.com/office/drawing/2015/06/chart">
            <c:ext xmlns:c16="http://schemas.microsoft.com/office/drawing/2014/chart" uri="{C3380CC4-5D6E-409C-BE32-E72D297353CC}">
              <c16:uniqueId val="{00000006-E735-4406-A0CC-AC3C62CBFF31}"/>
            </c:ext>
          </c:extLst>
        </c:ser>
        <c:ser>
          <c:idx val="7"/>
          <c:order val="7"/>
          <c:tx>
            <c:strRef>
              <c:f>'Figura 13'!$I$1</c:f>
              <c:strCache>
                <c:ptCount val="1"/>
                <c:pt idx="0">
                  <c:v>80-89 - eccesso 2020 - No Covid-19</c:v>
                </c:pt>
              </c:strCache>
            </c:strRef>
          </c:tx>
          <c:spPr>
            <a:noFill/>
            <a:ln w="12700">
              <a:solidFill>
                <a:srgbClr val="92D050"/>
              </a:solidFill>
            </a:ln>
            <a:effectLst/>
          </c:spPr>
          <c:invertIfNegative val="0"/>
          <c:cat>
            <c:strRef>
              <c:f>'Figura 13'!$A$2:$A$10</c:f>
              <c:strCache>
                <c:ptCount val="9"/>
                <c:pt idx="0">
                  <c:v>1-7 marzo</c:v>
                </c:pt>
                <c:pt idx="1">
                  <c:v>8-14 marzo</c:v>
                </c:pt>
                <c:pt idx="2">
                  <c:v>15-21 marzo</c:v>
                </c:pt>
                <c:pt idx="3">
                  <c:v>22-28 marzo</c:v>
                </c:pt>
                <c:pt idx="4">
                  <c:v>29 marzo - 4 aprile</c:v>
                </c:pt>
                <c:pt idx="5">
                  <c:v>5-11 aprile</c:v>
                </c:pt>
                <c:pt idx="6">
                  <c:v>12-18 aprile</c:v>
                </c:pt>
                <c:pt idx="7">
                  <c:v>19-25 aprile</c:v>
                </c:pt>
                <c:pt idx="8">
                  <c:v>26-30 aprile</c:v>
                </c:pt>
              </c:strCache>
            </c:strRef>
          </c:cat>
          <c:val>
            <c:numRef>
              <c:f>'Figura 13'!$I$2:$I$10</c:f>
              <c:numCache>
                <c:formatCode>General</c:formatCode>
                <c:ptCount val="9"/>
                <c:pt idx="0">
                  <c:v>120.8</c:v>
                </c:pt>
                <c:pt idx="1">
                  <c:v>494.6</c:v>
                </c:pt>
                <c:pt idx="2">
                  <c:v>803</c:v>
                </c:pt>
                <c:pt idx="3">
                  <c:v>849.2</c:v>
                </c:pt>
                <c:pt idx="4">
                  <c:v>558.6</c:v>
                </c:pt>
                <c:pt idx="5">
                  <c:v>326.2</c:v>
                </c:pt>
                <c:pt idx="6">
                  <c:v>156.4</c:v>
                </c:pt>
                <c:pt idx="7">
                  <c:v>28.6</c:v>
                </c:pt>
                <c:pt idx="8">
                  <c:v>-58.8</c:v>
                </c:pt>
              </c:numCache>
            </c:numRef>
          </c:val>
          <c:extLst xmlns:c16r2="http://schemas.microsoft.com/office/drawing/2015/06/chart">
            <c:ext xmlns:c16="http://schemas.microsoft.com/office/drawing/2014/chart" uri="{C3380CC4-5D6E-409C-BE32-E72D297353CC}">
              <c16:uniqueId val="{00000007-E735-4406-A0CC-AC3C62CBFF31}"/>
            </c:ext>
          </c:extLst>
        </c:ser>
        <c:ser>
          <c:idx val="8"/>
          <c:order val="8"/>
          <c:tx>
            <c:strRef>
              <c:f>'Figura 13'!$J$1</c:f>
              <c:strCache>
                <c:ptCount val="1"/>
                <c:pt idx="0">
                  <c:v>90+ - decessi Covid-19</c:v>
                </c:pt>
              </c:strCache>
            </c:strRef>
          </c:tx>
          <c:spPr>
            <a:solidFill>
              <a:srgbClr val="FF0000"/>
            </a:solidFill>
            <a:ln w="12700">
              <a:solidFill>
                <a:srgbClr val="FF0000"/>
              </a:solidFill>
            </a:ln>
            <a:effectLst/>
          </c:spPr>
          <c:invertIfNegative val="0"/>
          <c:cat>
            <c:strRef>
              <c:f>'Figura 13'!$A$2:$A$10</c:f>
              <c:strCache>
                <c:ptCount val="9"/>
                <c:pt idx="0">
                  <c:v>1-7 marzo</c:v>
                </c:pt>
                <c:pt idx="1">
                  <c:v>8-14 marzo</c:v>
                </c:pt>
                <c:pt idx="2">
                  <c:v>15-21 marzo</c:v>
                </c:pt>
                <c:pt idx="3">
                  <c:v>22-28 marzo</c:v>
                </c:pt>
                <c:pt idx="4">
                  <c:v>29 marzo - 4 aprile</c:v>
                </c:pt>
                <c:pt idx="5">
                  <c:v>5-11 aprile</c:v>
                </c:pt>
                <c:pt idx="6">
                  <c:v>12-18 aprile</c:v>
                </c:pt>
                <c:pt idx="7">
                  <c:v>19-25 aprile</c:v>
                </c:pt>
                <c:pt idx="8">
                  <c:v>26-30 aprile</c:v>
                </c:pt>
              </c:strCache>
            </c:strRef>
          </c:cat>
          <c:val>
            <c:numRef>
              <c:f>'Figura 13'!$J$2:$J$10</c:f>
              <c:numCache>
                <c:formatCode>General</c:formatCode>
                <c:ptCount val="9"/>
                <c:pt idx="0">
                  <c:v>31</c:v>
                </c:pt>
                <c:pt idx="1">
                  <c:v>75</c:v>
                </c:pt>
                <c:pt idx="2">
                  <c:v>148</c:v>
                </c:pt>
                <c:pt idx="3">
                  <c:v>209</c:v>
                </c:pt>
                <c:pt idx="4">
                  <c:v>199</c:v>
                </c:pt>
                <c:pt idx="5">
                  <c:v>162</c:v>
                </c:pt>
                <c:pt idx="6">
                  <c:v>169</c:v>
                </c:pt>
                <c:pt idx="7">
                  <c:v>129</c:v>
                </c:pt>
                <c:pt idx="8">
                  <c:v>81</c:v>
                </c:pt>
              </c:numCache>
            </c:numRef>
          </c:val>
          <c:extLst xmlns:c16r2="http://schemas.microsoft.com/office/drawing/2015/06/chart">
            <c:ext xmlns:c16="http://schemas.microsoft.com/office/drawing/2014/chart" uri="{C3380CC4-5D6E-409C-BE32-E72D297353CC}">
              <c16:uniqueId val="{00000008-E735-4406-A0CC-AC3C62CBFF31}"/>
            </c:ext>
          </c:extLst>
        </c:ser>
        <c:ser>
          <c:idx val="9"/>
          <c:order val="9"/>
          <c:tx>
            <c:strRef>
              <c:f>'Figura 13'!$K$1</c:f>
              <c:strCache>
                <c:ptCount val="1"/>
                <c:pt idx="0">
                  <c:v>90+ - eccesso 2020 - No Covid-19</c:v>
                </c:pt>
              </c:strCache>
            </c:strRef>
          </c:tx>
          <c:spPr>
            <a:noFill/>
            <a:ln w="12700">
              <a:solidFill>
                <a:srgbClr val="FF0000"/>
              </a:solidFill>
            </a:ln>
            <a:effectLst/>
          </c:spPr>
          <c:invertIfNegative val="0"/>
          <c:cat>
            <c:strRef>
              <c:f>'Figura 13'!$A$2:$A$10</c:f>
              <c:strCache>
                <c:ptCount val="9"/>
                <c:pt idx="0">
                  <c:v>1-7 marzo</c:v>
                </c:pt>
                <c:pt idx="1">
                  <c:v>8-14 marzo</c:v>
                </c:pt>
                <c:pt idx="2">
                  <c:v>15-21 marzo</c:v>
                </c:pt>
                <c:pt idx="3">
                  <c:v>22-28 marzo</c:v>
                </c:pt>
                <c:pt idx="4">
                  <c:v>29 marzo - 4 aprile</c:v>
                </c:pt>
                <c:pt idx="5">
                  <c:v>5-11 aprile</c:v>
                </c:pt>
                <c:pt idx="6">
                  <c:v>12-18 aprile</c:v>
                </c:pt>
                <c:pt idx="7">
                  <c:v>19-25 aprile</c:v>
                </c:pt>
                <c:pt idx="8">
                  <c:v>26-30 aprile</c:v>
                </c:pt>
              </c:strCache>
            </c:strRef>
          </c:cat>
          <c:val>
            <c:numRef>
              <c:f>'Figura 13'!$K$2:$K$10</c:f>
              <c:numCache>
                <c:formatCode>General</c:formatCode>
                <c:ptCount val="9"/>
                <c:pt idx="0">
                  <c:v>63.2</c:v>
                </c:pt>
                <c:pt idx="1">
                  <c:v>194.8</c:v>
                </c:pt>
                <c:pt idx="2">
                  <c:v>370.2</c:v>
                </c:pt>
                <c:pt idx="3">
                  <c:v>408</c:v>
                </c:pt>
                <c:pt idx="4">
                  <c:v>343.2</c:v>
                </c:pt>
                <c:pt idx="5">
                  <c:v>220.4</c:v>
                </c:pt>
                <c:pt idx="6">
                  <c:v>119.6</c:v>
                </c:pt>
                <c:pt idx="7">
                  <c:v>83.4</c:v>
                </c:pt>
                <c:pt idx="8">
                  <c:v>8.1999999999999993</c:v>
                </c:pt>
              </c:numCache>
            </c:numRef>
          </c:val>
          <c:extLst xmlns:c16r2="http://schemas.microsoft.com/office/drawing/2015/06/chart">
            <c:ext xmlns:c16="http://schemas.microsoft.com/office/drawing/2014/chart" uri="{C3380CC4-5D6E-409C-BE32-E72D297353CC}">
              <c16:uniqueId val="{00000009-E735-4406-A0CC-AC3C62CBFF31}"/>
            </c:ext>
          </c:extLst>
        </c:ser>
        <c:dLbls>
          <c:showLegendKey val="0"/>
          <c:showVal val="0"/>
          <c:showCatName val="0"/>
          <c:showSerName val="0"/>
          <c:showPercent val="0"/>
          <c:showBubbleSize val="0"/>
        </c:dLbls>
        <c:gapWidth val="150"/>
        <c:overlap val="100"/>
        <c:axId val="221831552"/>
        <c:axId val="221833088"/>
      </c:barChart>
      <c:catAx>
        <c:axId val="2218315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crossAx val="221833088"/>
        <c:crosses val="autoZero"/>
        <c:auto val="1"/>
        <c:lblAlgn val="ctr"/>
        <c:lblOffset val="100"/>
        <c:tickLblSkip val="1"/>
        <c:noMultiLvlLbl val="0"/>
      </c:catAx>
      <c:valAx>
        <c:axId val="221833088"/>
        <c:scaling>
          <c:orientation val="minMax"/>
          <c:max val="5000"/>
          <c:min val="0"/>
        </c:scaling>
        <c:delete val="0"/>
        <c:axPos val="l"/>
        <c:majorGridlines>
          <c:spPr>
            <a:ln w="9525" cap="flat" cmpd="sng" algn="ctr">
              <a:solidFill>
                <a:schemeClr val="tx1">
                  <a:lumMod val="15000"/>
                  <a:lumOff val="85000"/>
                </a:schemeClr>
              </a:solidFill>
              <a:round/>
            </a:ln>
            <a:effectLst/>
          </c:spPr>
        </c:majorGridlines>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crossAx val="221831552"/>
        <c:crosses val="autoZero"/>
        <c:crossBetween val="between"/>
        <c:majorUnit val="500"/>
      </c:valAx>
      <c:spPr>
        <a:noFill/>
        <a:ln>
          <a:noFill/>
        </a:ln>
        <a:effectLst/>
      </c:spPr>
    </c:plotArea>
    <c:legend>
      <c:legendPos val="l"/>
      <c:layout>
        <c:manualLayout>
          <c:xMode val="edge"/>
          <c:yMode val="edge"/>
          <c:x val="4.3256270700132188E-2"/>
          <c:y val="9.0738149379044949E-3"/>
          <c:w val="0.94609738682021471"/>
          <c:h val="0.12201102693122966"/>
        </c:manualLayout>
      </c:layout>
      <c:overlay val="1"/>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it-IT"/>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049691358024691E-2"/>
          <c:y val="0.17536325739321829"/>
          <c:w val="0.92339166666666672"/>
          <c:h val="0.61716950848769803"/>
        </c:manualLayout>
      </c:layout>
      <c:barChart>
        <c:barDir val="col"/>
        <c:grouping val="stacked"/>
        <c:varyColors val="0"/>
        <c:ser>
          <c:idx val="0"/>
          <c:order val="0"/>
          <c:tx>
            <c:strRef>
              <c:f>'Figura 14'!$B$1</c:f>
              <c:strCache>
                <c:ptCount val="1"/>
                <c:pt idx="0">
                  <c:v>50-59 - decessi Covid-19</c:v>
                </c:pt>
              </c:strCache>
            </c:strRef>
          </c:tx>
          <c:spPr>
            <a:solidFill>
              <a:srgbClr val="7030A0"/>
            </a:solidFill>
            <a:ln w="12700">
              <a:solidFill>
                <a:srgbClr val="7030A0"/>
              </a:solidFill>
            </a:ln>
            <a:effectLst/>
          </c:spPr>
          <c:invertIfNegative val="0"/>
          <c:cat>
            <c:strRef>
              <c:f>'Figura 14'!$A$2:$A$10</c:f>
              <c:strCache>
                <c:ptCount val="9"/>
                <c:pt idx="0">
                  <c:v>1-7 marzo</c:v>
                </c:pt>
                <c:pt idx="1">
                  <c:v>8-14 marzo</c:v>
                </c:pt>
                <c:pt idx="2">
                  <c:v>15-21 marzo</c:v>
                </c:pt>
                <c:pt idx="3">
                  <c:v>22-28 marzo</c:v>
                </c:pt>
                <c:pt idx="4">
                  <c:v>29 marzo - 4 aprile</c:v>
                </c:pt>
                <c:pt idx="5">
                  <c:v>5-11 aprile</c:v>
                </c:pt>
                <c:pt idx="6">
                  <c:v>12-18 aprile</c:v>
                </c:pt>
                <c:pt idx="7">
                  <c:v>19-25 aprile</c:v>
                </c:pt>
                <c:pt idx="8">
                  <c:v>26-30 aprile</c:v>
                </c:pt>
              </c:strCache>
            </c:strRef>
          </c:cat>
          <c:val>
            <c:numRef>
              <c:f>'Figura 14'!$B$2:$B$10</c:f>
              <c:numCache>
                <c:formatCode>@</c:formatCode>
                <c:ptCount val="9"/>
                <c:pt idx="0">
                  <c:v>0</c:v>
                </c:pt>
                <c:pt idx="1">
                  <c:v>14</c:v>
                </c:pt>
                <c:pt idx="2">
                  <c:v>28</c:v>
                </c:pt>
                <c:pt idx="3">
                  <c:v>38</c:v>
                </c:pt>
                <c:pt idx="4">
                  <c:v>27</c:v>
                </c:pt>
                <c:pt idx="5">
                  <c:v>15</c:v>
                </c:pt>
                <c:pt idx="6">
                  <c:v>15</c:v>
                </c:pt>
                <c:pt idx="7">
                  <c:v>9</c:v>
                </c:pt>
                <c:pt idx="8">
                  <c:v>5</c:v>
                </c:pt>
              </c:numCache>
            </c:numRef>
          </c:val>
          <c:extLst xmlns:c16r2="http://schemas.microsoft.com/office/drawing/2015/06/chart">
            <c:ext xmlns:c16="http://schemas.microsoft.com/office/drawing/2014/chart" uri="{C3380CC4-5D6E-409C-BE32-E72D297353CC}">
              <c16:uniqueId val="{00000000-79E4-45EE-A27D-4F1AC8D3680E}"/>
            </c:ext>
          </c:extLst>
        </c:ser>
        <c:ser>
          <c:idx val="1"/>
          <c:order val="1"/>
          <c:tx>
            <c:strRef>
              <c:f>'Figura 14'!$C$1</c:f>
              <c:strCache>
                <c:ptCount val="1"/>
                <c:pt idx="0">
                  <c:v>50-59 - eccesso 2020 - No Covid-19</c:v>
                </c:pt>
              </c:strCache>
            </c:strRef>
          </c:tx>
          <c:spPr>
            <a:noFill/>
            <a:ln w="12700">
              <a:solidFill>
                <a:srgbClr val="7030A0"/>
              </a:solidFill>
            </a:ln>
            <a:effectLst/>
          </c:spPr>
          <c:invertIfNegative val="0"/>
          <c:cat>
            <c:strRef>
              <c:f>'Figura 14'!$A$2:$A$10</c:f>
              <c:strCache>
                <c:ptCount val="9"/>
                <c:pt idx="0">
                  <c:v>1-7 marzo</c:v>
                </c:pt>
                <c:pt idx="1">
                  <c:v>8-14 marzo</c:v>
                </c:pt>
                <c:pt idx="2">
                  <c:v>15-21 marzo</c:v>
                </c:pt>
                <c:pt idx="3">
                  <c:v>22-28 marzo</c:v>
                </c:pt>
                <c:pt idx="4">
                  <c:v>29 marzo - 4 aprile</c:v>
                </c:pt>
                <c:pt idx="5">
                  <c:v>5-11 aprile</c:v>
                </c:pt>
                <c:pt idx="6">
                  <c:v>12-18 aprile</c:v>
                </c:pt>
                <c:pt idx="7">
                  <c:v>19-25 aprile</c:v>
                </c:pt>
                <c:pt idx="8">
                  <c:v>26-30 aprile</c:v>
                </c:pt>
              </c:strCache>
            </c:strRef>
          </c:cat>
          <c:val>
            <c:numRef>
              <c:f>'Figura 14'!$C$2:$C$10</c:f>
              <c:numCache>
                <c:formatCode>@</c:formatCode>
                <c:ptCount val="9"/>
                <c:pt idx="0">
                  <c:v>-1.8</c:v>
                </c:pt>
                <c:pt idx="1">
                  <c:v>15</c:v>
                </c:pt>
                <c:pt idx="2">
                  <c:v>7.8</c:v>
                </c:pt>
                <c:pt idx="3">
                  <c:v>14.4</c:v>
                </c:pt>
                <c:pt idx="4">
                  <c:v>19</c:v>
                </c:pt>
                <c:pt idx="5">
                  <c:v>-24.8</c:v>
                </c:pt>
                <c:pt idx="6">
                  <c:v>-0.4</c:v>
                </c:pt>
                <c:pt idx="7">
                  <c:v>-14.8</c:v>
                </c:pt>
                <c:pt idx="8">
                  <c:v>11.2</c:v>
                </c:pt>
              </c:numCache>
            </c:numRef>
          </c:val>
          <c:extLst xmlns:c16r2="http://schemas.microsoft.com/office/drawing/2015/06/chart">
            <c:ext xmlns:c16="http://schemas.microsoft.com/office/drawing/2014/chart" uri="{C3380CC4-5D6E-409C-BE32-E72D297353CC}">
              <c16:uniqueId val="{00000001-79E4-45EE-A27D-4F1AC8D3680E}"/>
            </c:ext>
          </c:extLst>
        </c:ser>
        <c:ser>
          <c:idx val="2"/>
          <c:order val="2"/>
          <c:tx>
            <c:strRef>
              <c:f>'Figura 14'!$D$1</c:f>
              <c:strCache>
                <c:ptCount val="1"/>
                <c:pt idx="0">
                  <c:v>60-69 - decessi Covid-19</c:v>
                </c:pt>
              </c:strCache>
            </c:strRef>
          </c:tx>
          <c:spPr>
            <a:solidFill>
              <a:srgbClr val="FFC000"/>
            </a:solidFill>
            <a:ln w="12700">
              <a:solidFill>
                <a:srgbClr val="FFC000"/>
              </a:solidFill>
            </a:ln>
            <a:effectLst/>
          </c:spPr>
          <c:invertIfNegative val="0"/>
          <c:cat>
            <c:strRef>
              <c:f>'Figura 14'!$A$2:$A$10</c:f>
              <c:strCache>
                <c:ptCount val="9"/>
                <c:pt idx="0">
                  <c:v>1-7 marzo</c:v>
                </c:pt>
                <c:pt idx="1">
                  <c:v>8-14 marzo</c:v>
                </c:pt>
                <c:pt idx="2">
                  <c:v>15-21 marzo</c:v>
                </c:pt>
                <c:pt idx="3">
                  <c:v>22-28 marzo</c:v>
                </c:pt>
                <c:pt idx="4">
                  <c:v>29 marzo - 4 aprile</c:v>
                </c:pt>
                <c:pt idx="5">
                  <c:v>5-11 aprile</c:v>
                </c:pt>
                <c:pt idx="6">
                  <c:v>12-18 aprile</c:v>
                </c:pt>
                <c:pt idx="7">
                  <c:v>19-25 aprile</c:v>
                </c:pt>
                <c:pt idx="8">
                  <c:v>26-30 aprile</c:v>
                </c:pt>
              </c:strCache>
            </c:strRef>
          </c:cat>
          <c:val>
            <c:numRef>
              <c:f>'Figura 14'!$D$2:$D$10</c:f>
              <c:numCache>
                <c:formatCode>General</c:formatCode>
                <c:ptCount val="9"/>
                <c:pt idx="0">
                  <c:v>8</c:v>
                </c:pt>
                <c:pt idx="1">
                  <c:v>27</c:v>
                </c:pt>
                <c:pt idx="2">
                  <c:v>105</c:v>
                </c:pt>
                <c:pt idx="3">
                  <c:v>128</c:v>
                </c:pt>
                <c:pt idx="4">
                  <c:v>97</c:v>
                </c:pt>
                <c:pt idx="5">
                  <c:v>70</c:v>
                </c:pt>
                <c:pt idx="6">
                  <c:v>67</c:v>
                </c:pt>
                <c:pt idx="7">
                  <c:v>39</c:v>
                </c:pt>
                <c:pt idx="8">
                  <c:v>28</c:v>
                </c:pt>
              </c:numCache>
            </c:numRef>
          </c:val>
          <c:extLst xmlns:c16r2="http://schemas.microsoft.com/office/drawing/2015/06/chart">
            <c:ext xmlns:c16="http://schemas.microsoft.com/office/drawing/2014/chart" uri="{C3380CC4-5D6E-409C-BE32-E72D297353CC}">
              <c16:uniqueId val="{00000002-79E4-45EE-A27D-4F1AC8D3680E}"/>
            </c:ext>
          </c:extLst>
        </c:ser>
        <c:ser>
          <c:idx val="3"/>
          <c:order val="3"/>
          <c:tx>
            <c:strRef>
              <c:f>'Figura 14'!$E$1</c:f>
              <c:strCache>
                <c:ptCount val="1"/>
                <c:pt idx="0">
                  <c:v>60-69 - eccesso 2020 - No Covid-19</c:v>
                </c:pt>
              </c:strCache>
            </c:strRef>
          </c:tx>
          <c:spPr>
            <a:noFill/>
            <a:ln w="12700">
              <a:solidFill>
                <a:srgbClr val="FFC000"/>
              </a:solidFill>
            </a:ln>
            <a:effectLst/>
          </c:spPr>
          <c:invertIfNegative val="0"/>
          <c:cat>
            <c:strRef>
              <c:f>'Figura 14'!$A$2:$A$10</c:f>
              <c:strCache>
                <c:ptCount val="9"/>
                <c:pt idx="0">
                  <c:v>1-7 marzo</c:v>
                </c:pt>
                <c:pt idx="1">
                  <c:v>8-14 marzo</c:v>
                </c:pt>
                <c:pt idx="2">
                  <c:v>15-21 marzo</c:v>
                </c:pt>
                <c:pt idx="3">
                  <c:v>22-28 marzo</c:v>
                </c:pt>
                <c:pt idx="4">
                  <c:v>29 marzo - 4 aprile</c:v>
                </c:pt>
                <c:pt idx="5">
                  <c:v>5-11 aprile</c:v>
                </c:pt>
                <c:pt idx="6">
                  <c:v>12-18 aprile</c:v>
                </c:pt>
                <c:pt idx="7">
                  <c:v>19-25 aprile</c:v>
                </c:pt>
                <c:pt idx="8">
                  <c:v>26-30 aprile</c:v>
                </c:pt>
              </c:strCache>
            </c:strRef>
          </c:cat>
          <c:val>
            <c:numRef>
              <c:f>'Figura 14'!$E$2:$E$10</c:f>
              <c:numCache>
                <c:formatCode>General</c:formatCode>
                <c:ptCount val="9"/>
                <c:pt idx="0">
                  <c:v>-17.8</c:v>
                </c:pt>
                <c:pt idx="1">
                  <c:v>9.8000000000000007</c:v>
                </c:pt>
                <c:pt idx="2">
                  <c:v>19.8</c:v>
                </c:pt>
                <c:pt idx="3">
                  <c:v>34.4</c:v>
                </c:pt>
                <c:pt idx="4">
                  <c:v>16.399999999999999</c:v>
                </c:pt>
                <c:pt idx="5">
                  <c:v>-22.4</c:v>
                </c:pt>
                <c:pt idx="6">
                  <c:v>24</c:v>
                </c:pt>
                <c:pt idx="7">
                  <c:v>-19.399999999999999</c:v>
                </c:pt>
                <c:pt idx="8">
                  <c:v>-38.6</c:v>
                </c:pt>
              </c:numCache>
            </c:numRef>
          </c:val>
          <c:extLst xmlns:c16r2="http://schemas.microsoft.com/office/drawing/2015/06/chart">
            <c:ext xmlns:c16="http://schemas.microsoft.com/office/drawing/2014/chart" uri="{C3380CC4-5D6E-409C-BE32-E72D297353CC}">
              <c16:uniqueId val="{00000003-79E4-45EE-A27D-4F1AC8D3680E}"/>
            </c:ext>
          </c:extLst>
        </c:ser>
        <c:ser>
          <c:idx val="4"/>
          <c:order val="4"/>
          <c:tx>
            <c:strRef>
              <c:f>'Figura 14'!$F$1</c:f>
              <c:strCache>
                <c:ptCount val="1"/>
                <c:pt idx="0">
                  <c:v>70-79 - decessi Covid-19</c:v>
                </c:pt>
              </c:strCache>
            </c:strRef>
          </c:tx>
          <c:spPr>
            <a:solidFill>
              <a:srgbClr val="00B0F0"/>
            </a:solidFill>
            <a:ln w="12700">
              <a:solidFill>
                <a:srgbClr val="00B0F0"/>
              </a:solidFill>
            </a:ln>
            <a:effectLst/>
          </c:spPr>
          <c:invertIfNegative val="0"/>
          <c:cat>
            <c:strRef>
              <c:f>'Figura 14'!$A$2:$A$10</c:f>
              <c:strCache>
                <c:ptCount val="9"/>
                <c:pt idx="0">
                  <c:v>1-7 marzo</c:v>
                </c:pt>
                <c:pt idx="1">
                  <c:v>8-14 marzo</c:v>
                </c:pt>
                <c:pt idx="2">
                  <c:v>15-21 marzo</c:v>
                </c:pt>
                <c:pt idx="3">
                  <c:v>22-28 marzo</c:v>
                </c:pt>
                <c:pt idx="4">
                  <c:v>29 marzo - 4 aprile</c:v>
                </c:pt>
                <c:pt idx="5">
                  <c:v>5-11 aprile</c:v>
                </c:pt>
                <c:pt idx="6">
                  <c:v>12-18 aprile</c:v>
                </c:pt>
                <c:pt idx="7">
                  <c:v>19-25 aprile</c:v>
                </c:pt>
                <c:pt idx="8">
                  <c:v>26-30 aprile</c:v>
                </c:pt>
              </c:strCache>
            </c:strRef>
          </c:cat>
          <c:val>
            <c:numRef>
              <c:f>'Figura 14'!$F$2:$F$10</c:f>
              <c:numCache>
                <c:formatCode>General</c:formatCode>
                <c:ptCount val="9"/>
                <c:pt idx="0">
                  <c:v>31</c:v>
                </c:pt>
                <c:pt idx="1">
                  <c:v>160</c:v>
                </c:pt>
                <c:pt idx="2">
                  <c:v>298</c:v>
                </c:pt>
                <c:pt idx="3">
                  <c:v>467</c:v>
                </c:pt>
                <c:pt idx="4">
                  <c:v>317</c:v>
                </c:pt>
                <c:pt idx="5">
                  <c:v>224</c:v>
                </c:pt>
                <c:pt idx="6">
                  <c:v>171</c:v>
                </c:pt>
                <c:pt idx="7">
                  <c:v>144</c:v>
                </c:pt>
                <c:pt idx="8">
                  <c:v>82</c:v>
                </c:pt>
              </c:numCache>
            </c:numRef>
          </c:val>
          <c:extLst xmlns:c16r2="http://schemas.microsoft.com/office/drawing/2015/06/chart">
            <c:ext xmlns:c16="http://schemas.microsoft.com/office/drawing/2014/chart" uri="{C3380CC4-5D6E-409C-BE32-E72D297353CC}">
              <c16:uniqueId val="{00000004-79E4-45EE-A27D-4F1AC8D3680E}"/>
            </c:ext>
          </c:extLst>
        </c:ser>
        <c:ser>
          <c:idx val="5"/>
          <c:order val="5"/>
          <c:tx>
            <c:strRef>
              <c:f>'Figura 14'!$G$1</c:f>
              <c:strCache>
                <c:ptCount val="1"/>
                <c:pt idx="0">
                  <c:v>70-79 - eccesso 2020 - No Covid-19</c:v>
                </c:pt>
              </c:strCache>
            </c:strRef>
          </c:tx>
          <c:spPr>
            <a:noFill/>
            <a:ln w="12700">
              <a:solidFill>
                <a:srgbClr val="00B0F0"/>
              </a:solidFill>
            </a:ln>
            <a:effectLst/>
          </c:spPr>
          <c:invertIfNegative val="0"/>
          <c:cat>
            <c:strRef>
              <c:f>'Figura 14'!$A$2:$A$10</c:f>
              <c:strCache>
                <c:ptCount val="9"/>
                <c:pt idx="0">
                  <c:v>1-7 marzo</c:v>
                </c:pt>
                <c:pt idx="1">
                  <c:v>8-14 marzo</c:v>
                </c:pt>
                <c:pt idx="2">
                  <c:v>15-21 marzo</c:v>
                </c:pt>
                <c:pt idx="3">
                  <c:v>22-28 marzo</c:v>
                </c:pt>
                <c:pt idx="4">
                  <c:v>29 marzo - 4 aprile</c:v>
                </c:pt>
                <c:pt idx="5">
                  <c:v>5-11 aprile</c:v>
                </c:pt>
                <c:pt idx="6">
                  <c:v>12-18 aprile</c:v>
                </c:pt>
                <c:pt idx="7">
                  <c:v>19-25 aprile</c:v>
                </c:pt>
                <c:pt idx="8">
                  <c:v>26-30 aprile</c:v>
                </c:pt>
              </c:strCache>
            </c:strRef>
          </c:cat>
          <c:val>
            <c:numRef>
              <c:f>'Figura 14'!$G$2:$G$10</c:f>
              <c:numCache>
                <c:formatCode>General</c:formatCode>
                <c:ptCount val="9"/>
                <c:pt idx="0">
                  <c:v>24</c:v>
                </c:pt>
                <c:pt idx="1">
                  <c:v>89.6</c:v>
                </c:pt>
                <c:pt idx="2">
                  <c:v>191.8</c:v>
                </c:pt>
                <c:pt idx="3">
                  <c:v>228.8</c:v>
                </c:pt>
                <c:pt idx="4">
                  <c:v>77.2</c:v>
                </c:pt>
                <c:pt idx="5">
                  <c:v>67.400000000000006</c:v>
                </c:pt>
                <c:pt idx="6">
                  <c:v>5.4</c:v>
                </c:pt>
                <c:pt idx="7">
                  <c:v>-25.8</c:v>
                </c:pt>
                <c:pt idx="8">
                  <c:v>-46.2</c:v>
                </c:pt>
              </c:numCache>
            </c:numRef>
          </c:val>
          <c:extLst xmlns:c16r2="http://schemas.microsoft.com/office/drawing/2015/06/chart">
            <c:ext xmlns:c16="http://schemas.microsoft.com/office/drawing/2014/chart" uri="{C3380CC4-5D6E-409C-BE32-E72D297353CC}">
              <c16:uniqueId val="{00000005-79E4-45EE-A27D-4F1AC8D3680E}"/>
            </c:ext>
          </c:extLst>
        </c:ser>
        <c:ser>
          <c:idx val="6"/>
          <c:order val="6"/>
          <c:tx>
            <c:strRef>
              <c:f>'Figura 14'!$H$1</c:f>
              <c:strCache>
                <c:ptCount val="1"/>
                <c:pt idx="0">
                  <c:v>80-89 - decessi Covid-19</c:v>
                </c:pt>
              </c:strCache>
            </c:strRef>
          </c:tx>
          <c:spPr>
            <a:solidFill>
              <a:srgbClr val="92D050"/>
            </a:solidFill>
            <a:ln w="12700">
              <a:solidFill>
                <a:srgbClr val="92D050"/>
              </a:solidFill>
            </a:ln>
            <a:effectLst/>
          </c:spPr>
          <c:invertIfNegative val="0"/>
          <c:cat>
            <c:strRef>
              <c:f>'Figura 14'!$A$2:$A$10</c:f>
              <c:strCache>
                <c:ptCount val="9"/>
                <c:pt idx="0">
                  <c:v>1-7 marzo</c:v>
                </c:pt>
                <c:pt idx="1">
                  <c:v>8-14 marzo</c:v>
                </c:pt>
                <c:pt idx="2">
                  <c:v>15-21 marzo</c:v>
                </c:pt>
                <c:pt idx="3">
                  <c:v>22-28 marzo</c:v>
                </c:pt>
                <c:pt idx="4">
                  <c:v>29 marzo - 4 aprile</c:v>
                </c:pt>
                <c:pt idx="5">
                  <c:v>5-11 aprile</c:v>
                </c:pt>
                <c:pt idx="6">
                  <c:v>12-18 aprile</c:v>
                </c:pt>
                <c:pt idx="7">
                  <c:v>19-25 aprile</c:v>
                </c:pt>
                <c:pt idx="8">
                  <c:v>26-30 aprile</c:v>
                </c:pt>
              </c:strCache>
            </c:strRef>
          </c:cat>
          <c:val>
            <c:numRef>
              <c:f>'Figura 14'!$H$2:$H$10</c:f>
              <c:numCache>
                <c:formatCode>General</c:formatCode>
                <c:ptCount val="9"/>
                <c:pt idx="0">
                  <c:v>69</c:v>
                </c:pt>
                <c:pt idx="1">
                  <c:v>282</c:v>
                </c:pt>
                <c:pt idx="2">
                  <c:v>496</c:v>
                </c:pt>
                <c:pt idx="3">
                  <c:v>678</c:v>
                </c:pt>
                <c:pt idx="4">
                  <c:v>635</c:v>
                </c:pt>
                <c:pt idx="5">
                  <c:v>551</c:v>
                </c:pt>
                <c:pt idx="6">
                  <c:v>512</c:v>
                </c:pt>
                <c:pt idx="7">
                  <c:v>395</c:v>
                </c:pt>
                <c:pt idx="8">
                  <c:v>255</c:v>
                </c:pt>
              </c:numCache>
            </c:numRef>
          </c:val>
          <c:extLst xmlns:c16r2="http://schemas.microsoft.com/office/drawing/2015/06/chart">
            <c:ext xmlns:c16="http://schemas.microsoft.com/office/drawing/2014/chart" uri="{C3380CC4-5D6E-409C-BE32-E72D297353CC}">
              <c16:uniqueId val="{00000006-79E4-45EE-A27D-4F1AC8D3680E}"/>
            </c:ext>
          </c:extLst>
        </c:ser>
        <c:ser>
          <c:idx val="7"/>
          <c:order val="7"/>
          <c:tx>
            <c:strRef>
              <c:f>'Figura 14'!$I$1</c:f>
              <c:strCache>
                <c:ptCount val="1"/>
                <c:pt idx="0">
                  <c:v>80-89 - eccesso 2020 - No Covid-19</c:v>
                </c:pt>
              </c:strCache>
            </c:strRef>
          </c:tx>
          <c:spPr>
            <a:noFill/>
            <a:ln w="12700">
              <a:solidFill>
                <a:srgbClr val="92D050"/>
              </a:solidFill>
            </a:ln>
            <a:effectLst/>
          </c:spPr>
          <c:invertIfNegative val="0"/>
          <c:cat>
            <c:strRef>
              <c:f>'Figura 14'!$A$2:$A$10</c:f>
              <c:strCache>
                <c:ptCount val="9"/>
                <c:pt idx="0">
                  <c:v>1-7 marzo</c:v>
                </c:pt>
                <c:pt idx="1">
                  <c:v>8-14 marzo</c:v>
                </c:pt>
                <c:pt idx="2">
                  <c:v>15-21 marzo</c:v>
                </c:pt>
                <c:pt idx="3">
                  <c:v>22-28 marzo</c:v>
                </c:pt>
                <c:pt idx="4">
                  <c:v>29 marzo - 4 aprile</c:v>
                </c:pt>
                <c:pt idx="5">
                  <c:v>5-11 aprile</c:v>
                </c:pt>
                <c:pt idx="6">
                  <c:v>12-18 aprile</c:v>
                </c:pt>
                <c:pt idx="7">
                  <c:v>19-25 aprile</c:v>
                </c:pt>
                <c:pt idx="8">
                  <c:v>26-30 aprile</c:v>
                </c:pt>
              </c:strCache>
            </c:strRef>
          </c:cat>
          <c:val>
            <c:numRef>
              <c:f>'Figura 14'!$I$2:$I$10</c:f>
              <c:numCache>
                <c:formatCode>General</c:formatCode>
                <c:ptCount val="9"/>
                <c:pt idx="0">
                  <c:v>6.2</c:v>
                </c:pt>
                <c:pt idx="1">
                  <c:v>345.2</c:v>
                </c:pt>
                <c:pt idx="2">
                  <c:v>743</c:v>
                </c:pt>
                <c:pt idx="3">
                  <c:v>954.6</c:v>
                </c:pt>
                <c:pt idx="4">
                  <c:v>690.2</c:v>
                </c:pt>
                <c:pt idx="5">
                  <c:v>507.8</c:v>
                </c:pt>
                <c:pt idx="6">
                  <c:v>367.2</c:v>
                </c:pt>
                <c:pt idx="7">
                  <c:v>58.6</c:v>
                </c:pt>
                <c:pt idx="8">
                  <c:v>-50.2</c:v>
                </c:pt>
              </c:numCache>
            </c:numRef>
          </c:val>
          <c:extLst xmlns:c16r2="http://schemas.microsoft.com/office/drawing/2015/06/chart">
            <c:ext xmlns:c16="http://schemas.microsoft.com/office/drawing/2014/chart" uri="{C3380CC4-5D6E-409C-BE32-E72D297353CC}">
              <c16:uniqueId val="{00000007-79E4-45EE-A27D-4F1AC8D3680E}"/>
            </c:ext>
          </c:extLst>
        </c:ser>
        <c:ser>
          <c:idx val="8"/>
          <c:order val="8"/>
          <c:tx>
            <c:strRef>
              <c:f>'Figura 14'!$J$1</c:f>
              <c:strCache>
                <c:ptCount val="1"/>
                <c:pt idx="0">
                  <c:v>90+ - decessi Covid-19</c:v>
                </c:pt>
              </c:strCache>
            </c:strRef>
          </c:tx>
          <c:spPr>
            <a:solidFill>
              <a:srgbClr val="FF0000"/>
            </a:solidFill>
            <a:ln w="12700">
              <a:solidFill>
                <a:srgbClr val="FF0000"/>
              </a:solidFill>
            </a:ln>
            <a:effectLst/>
          </c:spPr>
          <c:invertIfNegative val="0"/>
          <c:cat>
            <c:strRef>
              <c:f>'Figura 14'!$A$2:$A$10</c:f>
              <c:strCache>
                <c:ptCount val="9"/>
                <c:pt idx="0">
                  <c:v>1-7 marzo</c:v>
                </c:pt>
                <c:pt idx="1">
                  <c:v>8-14 marzo</c:v>
                </c:pt>
                <c:pt idx="2">
                  <c:v>15-21 marzo</c:v>
                </c:pt>
                <c:pt idx="3">
                  <c:v>22-28 marzo</c:v>
                </c:pt>
                <c:pt idx="4">
                  <c:v>29 marzo - 4 aprile</c:v>
                </c:pt>
                <c:pt idx="5">
                  <c:v>5-11 aprile</c:v>
                </c:pt>
                <c:pt idx="6">
                  <c:v>12-18 aprile</c:v>
                </c:pt>
                <c:pt idx="7">
                  <c:v>19-25 aprile</c:v>
                </c:pt>
                <c:pt idx="8">
                  <c:v>26-30 aprile</c:v>
                </c:pt>
              </c:strCache>
            </c:strRef>
          </c:cat>
          <c:val>
            <c:numRef>
              <c:f>'Figura 14'!$J$2:$J$10</c:f>
              <c:numCache>
                <c:formatCode>General</c:formatCode>
                <c:ptCount val="9"/>
                <c:pt idx="0">
                  <c:v>35</c:v>
                </c:pt>
                <c:pt idx="1">
                  <c:v>103</c:v>
                </c:pt>
                <c:pt idx="2">
                  <c:v>195</c:v>
                </c:pt>
                <c:pt idx="3">
                  <c:v>258</c:v>
                </c:pt>
                <c:pt idx="4">
                  <c:v>313</c:v>
                </c:pt>
                <c:pt idx="5">
                  <c:v>399</c:v>
                </c:pt>
                <c:pt idx="6">
                  <c:v>419</c:v>
                </c:pt>
                <c:pt idx="7">
                  <c:v>365</c:v>
                </c:pt>
                <c:pt idx="8">
                  <c:v>208</c:v>
                </c:pt>
              </c:numCache>
            </c:numRef>
          </c:val>
          <c:extLst xmlns:c16r2="http://schemas.microsoft.com/office/drawing/2015/06/chart">
            <c:ext xmlns:c16="http://schemas.microsoft.com/office/drawing/2014/chart" uri="{C3380CC4-5D6E-409C-BE32-E72D297353CC}">
              <c16:uniqueId val="{00000008-79E4-45EE-A27D-4F1AC8D3680E}"/>
            </c:ext>
          </c:extLst>
        </c:ser>
        <c:ser>
          <c:idx val="9"/>
          <c:order val="9"/>
          <c:tx>
            <c:strRef>
              <c:f>'Figura 14'!$K$1</c:f>
              <c:strCache>
                <c:ptCount val="1"/>
                <c:pt idx="0">
                  <c:v>90+ - eccesso 2020 - No Covid-19</c:v>
                </c:pt>
              </c:strCache>
            </c:strRef>
          </c:tx>
          <c:spPr>
            <a:noFill/>
            <a:ln w="12700">
              <a:solidFill>
                <a:srgbClr val="FF0000"/>
              </a:solidFill>
            </a:ln>
            <a:effectLst/>
          </c:spPr>
          <c:invertIfNegative val="0"/>
          <c:cat>
            <c:strRef>
              <c:f>'Figura 14'!$A$2:$A$10</c:f>
              <c:strCache>
                <c:ptCount val="9"/>
                <c:pt idx="0">
                  <c:v>1-7 marzo</c:v>
                </c:pt>
                <c:pt idx="1">
                  <c:v>8-14 marzo</c:v>
                </c:pt>
                <c:pt idx="2">
                  <c:v>15-21 marzo</c:v>
                </c:pt>
                <c:pt idx="3">
                  <c:v>22-28 marzo</c:v>
                </c:pt>
                <c:pt idx="4">
                  <c:v>29 marzo - 4 aprile</c:v>
                </c:pt>
                <c:pt idx="5">
                  <c:v>5-11 aprile</c:v>
                </c:pt>
                <c:pt idx="6">
                  <c:v>12-18 aprile</c:v>
                </c:pt>
                <c:pt idx="7">
                  <c:v>19-25 aprile</c:v>
                </c:pt>
                <c:pt idx="8">
                  <c:v>26-30 aprile</c:v>
                </c:pt>
              </c:strCache>
            </c:strRef>
          </c:cat>
          <c:val>
            <c:numRef>
              <c:f>'Figura 14'!$K$2:$K$10</c:f>
              <c:numCache>
                <c:formatCode>General</c:formatCode>
                <c:ptCount val="9"/>
                <c:pt idx="0">
                  <c:v>82</c:v>
                </c:pt>
                <c:pt idx="1">
                  <c:v>406.4</c:v>
                </c:pt>
                <c:pt idx="2">
                  <c:v>860.6</c:v>
                </c:pt>
                <c:pt idx="3">
                  <c:v>1113</c:v>
                </c:pt>
                <c:pt idx="4">
                  <c:v>997.4</c:v>
                </c:pt>
                <c:pt idx="5">
                  <c:v>647.20000000000005</c:v>
                </c:pt>
                <c:pt idx="6">
                  <c:v>493.6</c:v>
                </c:pt>
                <c:pt idx="7">
                  <c:v>199.6</c:v>
                </c:pt>
                <c:pt idx="8">
                  <c:v>36.200000000000003</c:v>
                </c:pt>
              </c:numCache>
            </c:numRef>
          </c:val>
          <c:extLst xmlns:c16r2="http://schemas.microsoft.com/office/drawing/2015/06/chart">
            <c:ext xmlns:c16="http://schemas.microsoft.com/office/drawing/2014/chart" uri="{C3380CC4-5D6E-409C-BE32-E72D297353CC}">
              <c16:uniqueId val="{00000009-79E4-45EE-A27D-4F1AC8D3680E}"/>
            </c:ext>
          </c:extLst>
        </c:ser>
        <c:dLbls>
          <c:showLegendKey val="0"/>
          <c:showVal val="0"/>
          <c:showCatName val="0"/>
          <c:showSerName val="0"/>
          <c:showPercent val="0"/>
          <c:showBubbleSize val="0"/>
        </c:dLbls>
        <c:gapWidth val="150"/>
        <c:overlap val="100"/>
        <c:axId val="229520128"/>
        <c:axId val="229521664"/>
      </c:barChart>
      <c:catAx>
        <c:axId val="2295201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crossAx val="229521664"/>
        <c:crosses val="autoZero"/>
        <c:auto val="1"/>
        <c:lblAlgn val="ctr"/>
        <c:lblOffset val="100"/>
        <c:tickLblSkip val="1"/>
        <c:noMultiLvlLbl val="0"/>
      </c:catAx>
      <c:valAx>
        <c:axId val="229521664"/>
        <c:scaling>
          <c:orientation val="minMax"/>
          <c:max val="5000"/>
          <c:min val="0"/>
        </c:scaling>
        <c:delete val="0"/>
        <c:axPos val="l"/>
        <c:majorGridlines>
          <c:spPr>
            <a:ln w="9525" cap="flat" cmpd="sng" algn="ctr">
              <a:solidFill>
                <a:schemeClr val="tx1">
                  <a:lumMod val="15000"/>
                  <a:lumOff val="85000"/>
                </a:schemeClr>
              </a:solidFill>
              <a:round/>
            </a:ln>
            <a:effectLst/>
          </c:spPr>
        </c:majorGridlines>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crossAx val="229520128"/>
        <c:crosses val="autoZero"/>
        <c:crossBetween val="between"/>
        <c:majorUnit val="500"/>
      </c:valAx>
      <c:spPr>
        <a:noFill/>
        <a:ln>
          <a:noFill/>
        </a:ln>
        <a:effectLst/>
      </c:spPr>
    </c:plotArea>
    <c:legend>
      <c:legendPos val="t"/>
      <c:layout>
        <c:manualLayout>
          <c:xMode val="edge"/>
          <c:yMode val="edge"/>
          <c:x val="2.9873385042474589E-2"/>
          <c:y val="1.2376899962713572E-2"/>
          <c:w val="0.94436651234567903"/>
          <c:h val="0.14863278795820556"/>
        </c:manualLayout>
      </c:layout>
      <c:overlay val="1"/>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it-I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'Figura 3 (segue)'!$B$1</c:f>
              <c:strCache>
                <c:ptCount val="1"/>
                <c:pt idx="0">
                  <c:v>50-59</c:v>
                </c:pt>
              </c:strCache>
            </c:strRef>
          </c:tx>
          <c:spPr>
            <a:ln w="25400" cap="rnd">
              <a:solidFill>
                <a:srgbClr val="7030A0"/>
              </a:solidFill>
              <a:round/>
            </a:ln>
            <a:effectLst/>
          </c:spPr>
          <c:marker>
            <c:symbol val="none"/>
          </c:marker>
          <c:cat>
            <c:numRef>
              <c:f>'Figura 3 (segue)'!$A$2:$A$72</c:f>
              <c:numCache>
                <c:formatCode>d\-mmm</c:formatCode>
                <c:ptCount val="71"/>
                <c:pt idx="0">
                  <c:v>43881</c:v>
                </c:pt>
                <c:pt idx="1">
                  <c:v>43882</c:v>
                </c:pt>
                <c:pt idx="2">
                  <c:v>43883</c:v>
                </c:pt>
                <c:pt idx="3">
                  <c:v>43884</c:v>
                </c:pt>
                <c:pt idx="4">
                  <c:v>43885</c:v>
                </c:pt>
                <c:pt idx="5">
                  <c:v>43886</c:v>
                </c:pt>
                <c:pt idx="6">
                  <c:v>43887</c:v>
                </c:pt>
                <c:pt idx="7">
                  <c:v>43888</c:v>
                </c:pt>
                <c:pt idx="8">
                  <c:v>43889</c:v>
                </c:pt>
                <c:pt idx="9">
                  <c:v>43890</c:v>
                </c:pt>
                <c:pt idx="10">
                  <c:v>43891</c:v>
                </c:pt>
                <c:pt idx="11">
                  <c:v>43892</c:v>
                </c:pt>
                <c:pt idx="12">
                  <c:v>43893</c:v>
                </c:pt>
                <c:pt idx="13">
                  <c:v>43894</c:v>
                </c:pt>
                <c:pt idx="14">
                  <c:v>43895</c:v>
                </c:pt>
                <c:pt idx="15">
                  <c:v>43896</c:v>
                </c:pt>
                <c:pt idx="16">
                  <c:v>43897</c:v>
                </c:pt>
                <c:pt idx="17">
                  <c:v>43898</c:v>
                </c:pt>
                <c:pt idx="18">
                  <c:v>43899</c:v>
                </c:pt>
                <c:pt idx="19">
                  <c:v>43900</c:v>
                </c:pt>
                <c:pt idx="20">
                  <c:v>43901</c:v>
                </c:pt>
                <c:pt idx="21">
                  <c:v>43902</c:v>
                </c:pt>
                <c:pt idx="22">
                  <c:v>43903</c:v>
                </c:pt>
                <c:pt idx="23">
                  <c:v>43904</c:v>
                </c:pt>
                <c:pt idx="24">
                  <c:v>43905</c:v>
                </c:pt>
                <c:pt idx="25">
                  <c:v>43906</c:v>
                </c:pt>
                <c:pt idx="26">
                  <c:v>43907</c:v>
                </c:pt>
                <c:pt idx="27">
                  <c:v>43908</c:v>
                </c:pt>
                <c:pt idx="28">
                  <c:v>43909</c:v>
                </c:pt>
                <c:pt idx="29">
                  <c:v>43910</c:v>
                </c:pt>
                <c:pt idx="30">
                  <c:v>43911</c:v>
                </c:pt>
                <c:pt idx="31">
                  <c:v>43912</c:v>
                </c:pt>
                <c:pt idx="32">
                  <c:v>43913</c:v>
                </c:pt>
                <c:pt idx="33">
                  <c:v>43914</c:v>
                </c:pt>
                <c:pt idx="34">
                  <c:v>43915</c:v>
                </c:pt>
                <c:pt idx="35">
                  <c:v>43916</c:v>
                </c:pt>
                <c:pt idx="36">
                  <c:v>43917</c:v>
                </c:pt>
                <c:pt idx="37">
                  <c:v>43918</c:v>
                </c:pt>
                <c:pt idx="38">
                  <c:v>43919</c:v>
                </c:pt>
                <c:pt idx="39">
                  <c:v>43920</c:v>
                </c:pt>
                <c:pt idx="40">
                  <c:v>43921</c:v>
                </c:pt>
                <c:pt idx="41">
                  <c:v>43922</c:v>
                </c:pt>
                <c:pt idx="42">
                  <c:v>43923</c:v>
                </c:pt>
                <c:pt idx="43">
                  <c:v>43924</c:v>
                </c:pt>
                <c:pt idx="44">
                  <c:v>43925</c:v>
                </c:pt>
                <c:pt idx="45">
                  <c:v>43926</c:v>
                </c:pt>
                <c:pt idx="46">
                  <c:v>43927</c:v>
                </c:pt>
                <c:pt idx="47">
                  <c:v>43928</c:v>
                </c:pt>
                <c:pt idx="48">
                  <c:v>43929</c:v>
                </c:pt>
                <c:pt idx="49">
                  <c:v>43930</c:v>
                </c:pt>
                <c:pt idx="50">
                  <c:v>43931</c:v>
                </c:pt>
                <c:pt idx="51">
                  <c:v>43932</c:v>
                </c:pt>
                <c:pt idx="52">
                  <c:v>43933</c:v>
                </c:pt>
                <c:pt idx="53">
                  <c:v>43934</c:v>
                </c:pt>
                <c:pt idx="54">
                  <c:v>43935</c:v>
                </c:pt>
                <c:pt idx="55">
                  <c:v>43936</c:v>
                </c:pt>
                <c:pt idx="56">
                  <c:v>43937</c:v>
                </c:pt>
                <c:pt idx="57">
                  <c:v>43938</c:v>
                </c:pt>
                <c:pt idx="58">
                  <c:v>43939</c:v>
                </c:pt>
                <c:pt idx="59">
                  <c:v>43940</c:v>
                </c:pt>
                <c:pt idx="60">
                  <c:v>43941</c:v>
                </c:pt>
                <c:pt idx="61">
                  <c:v>43942</c:v>
                </c:pt>
                <c:pt idx="62">
                  <c:v>43943</c:v>
                </c:pt>
                <c:pt idx="63">
                  <c:v>43944</c:v>
                </c:pt>
                <c:pt idx="64">
                  <c:v>43945</c:v>
                </c:pt>
                <c:pt idx="65">
                  <c:v>43946</c:v>
                </c:pt>
                <c:pt idx="66">
                  <c:v>43947</c:v>
                </c:pt>
                <c:pt idx="67">
                  <c:v>43948</c:v>
                </c:pt>
                <c:pt idx="68">
                  <c:v>43949</c:v>
                </c:pt>
                <c:pt idx="69">
                  <c:v>43950</c:v>
                </c:pt>
                <c:pt idx="70">
                  <c:v>43951</c:v>
                </c:pt>
              </c:numCache>
            </c:numRef>
          </c:cat>
          <c:val>
            <c:numRef>
              <c:f>'Figura 3 (segue)'!$B$2:$B$72</c:f>
              <c:numCache>
                <c:formatCode>General</c:formatCode>
                <c:ptCount val="71"/>
                <c:pt idx="0">
                  <c:v>93.619246861999997</c:v>
                </c:pt>
                <c:pt idx="1">
                  <c:v>92.75708917</c:v>
                </c:pt>
                <c:pt idx="2">
                  <c:v>92.984222893999998</c:v>
                </c:pt>
                <c:pt idx="3">
                  <c:v>93.234323431999997</c:v>
                </c:pt>
                <c:pt idx="4">
                  <c:v>93.577684074000004</c:v>
                </c:pt>
                <c:pt idx="5">
                  <c:v>93.899712551999997</c:v>
                </c:pt>
                <c:pt idx="6">
                  <c:v>93.916588271999998</c:v>
                </c:pt>
                <c:pt idx="7">
                  <c:v>93.865598027000004</c:v>
                </c:pt>
                <c:pt idx="8">
                  <c:v>94.730429485000002</c:v>
                </c:pt>
                <c:pt idx="9">
                  <c:v>96.235579842000007</c:v>
                </c:pt>
                <c:pt idx="10">
                  <c:v>95.958083832</c:v>
                </c:pt>
                <c:pt idx="11">
                  <c:v>96.426461902</c:v>
                </c:pt>
                <c:pt idx="12">
                  <c:v>96.355685131000001</c:v>
                </c:pt>
                <c:pt idx="13">
                  <c:v>95.278969957000001</c:v>
                </c:pt>
                <c:pt idx="14">
                  <c:v>95.963872424000002</c:v>
                </c:pt>
                <c:pt idx="15">
                  <c:v>95.753538718000001</c:v>
                </c:pt>
                <c:pt idx="16">
                  <c:v>96.354166667000001</c:v>
                </c:pt>
                <c:pt idx="17">
                  <c:v>97.075548334999993</c:v>
                </c:pt>
                <c:pt idx="18">
                  <c:v>97.114613946000006</c:v>
                </c:pt>
                <c:pt idx="19">
                  <c:v>97.948987641000002</c:v>
                </c:pt>
                <c:pt idx="20">
                  <c:v>98.130841121000003</c:v>
                </c:pt>
                <c:pt idx="21">
                  <c:v>98.539210660999998</c:v>
                </c:pt>
                <c:pt idx="22">
                  <c:v>100</c:v>
                </c:pt>
                <c:pt idx="23">
                  <c:v>100.29902816000001</c:v>
                </c:pt>
                <c:pt idx="24">
                  <c:v>101.25646711</c:v>
                </c:pt>
                <c:pt idx="25">
                  <c:v>101.89919648999999</c:v>
                </c:pt>
                <c:pt idx="26">
                  <c:v>102.16346154</c:v>
                </c:pt>
                <c:pt idx="27">
                  <c:v>102.94466872</c:v>
                </c:pt>
                <c:pt idx="28">
                  <c:v>103.85791578</c:v>
                </c:pt>
                <c:pt idx="29">
                  <c:v>104.20051056</c:v>
                </c:pt>
                <c:pt idx="30">
                  <c:v>104.36172642</c:v>
                </c:pt>
                <c:pt idx="31">
                  <c:v>105.1084991</c:v>
                </c:pt>
                <c:pt idx="32">
                  <c:v>105.64010743</c:v>
                </c:pt>
                <c:pt idx="33">
                  <c:v>106.43015521</c:v>
                </c:pt>
                <c:pt idx="34">
                  <c:v>107.59771628999999</c:v>
                </c:pt>
                <c:pt idx="35">
                  <c:v>108.69565217</c:v>
                </c:pt>
                <c:pt idx="36">
                  <c:v>109.10264687</c:v>
                </c:pt>
                <c:pt idx="37">
                  <c:v>109.65473145999999</c:v>
                </c:pt>
                <c:pt idx="38">
                  <c:v>110.85353003</c:v>
                </c:pt>
                <c:pt idx="39">
                  <c:v>111.35416667</c:v>
                </c:pt>
                <c:pt idx="40">
                  <c:v>112.04943357000001</c:v>
                </c:pt>
                <c:pt idx="41">
                  <c:v>112.62729124000001</c:v>
                </c:pt>
                <c:pt idx="42">
                  <c:v>112.89997988</c:v>
                </c:pt>
                <c:pt idx="43">
                  <c:v>113.07983277</c:v>
                </c:pt>
                <c:pt idx="44">
                  <c:v>113.47937636</c:v>
                </c:pt>
                <c:pt idx="45">
                  <c:v>113.49873022</c:v>
                </c:pt>
                <c:pt idx="46">
                  <c:v>112.71676300999999</c:v>
                </c:pt>
                <c:pt idx="47">
                  <c:v>112.51905488</c:v>
                </c:pt>
                <c:pt idx="48">
                  <c:v>112.38185255</c:v>
                </c:pt>
                <c:pt idx="49">
                  <c:v>112.19329462</c:v>
                </c:pt>
                <c:pt idx="50">
                  <c:v>112.27711738000001</c:v>
                </c:pt>
                <c:pt idx="51">
                  <c:v>111.64157179999999</c:v>
                </c:pt>
                <c:pt idx="52">
                  <c:v>111.65755919999999</c:v>
                </c:pt>
                <c:pt idx="53">
                  <c:v>111.5120895</c:v>
                </c:pt>
                <c:pt idx="54">
                  <c:v>112.08594449</c:v>
                </c:pt>
                <c:pt idx="55">
                  <c:v>112.04755145</c:v>
                </c:pt>
                <c:pt idx="56">
                  <c:v>112.31120478</c:v>
                </c:pt>
                <c:pt idx="57">
                  <c:v>112.54355400999999</c:v>
                </c:pt>
                <c:pt idx="58">
                  <c:v>112.21492744</c:v>
                </c:pt>
                <c:pt idx="59">
                  <c:v>112.71230057</c:v>
                </c:pt>
                <c:pt idx="60">
                  <c:v>112.42352141000001</c:v>
                </c:pt>
                <c:pt idx="61">
                  <c:v>112.03844208</c:v>
                </c:pt>
                <c:pt idx="62">
                  <c:v>111.88284519</c:v>
                </c:pt>
                <c:pt idx="63">
                  <c:v>111.42430774</c:v>
                </c:pt>
                <c:pt idx="64">
                  <c:v>111.03821551999999</c:v>
                </c:pt>
                <c:pt idx="65">
                  <c:v>111.02977061999999</c:v>
                </c:pt>
                <c:pt idx="66">
                  <c:v>110.73446328</c:v>
                </c:pt>
                <c:pt idx="67">
                  <c:v>111.4317781</c:v>
                </c:pt>
                <c:pt idx="68">
                  <c:v>111.52742347</c:v>
                </c:pt>
                <c:pt idx="69">
                  <c:v>111.9544592</c:v>
                </c:pt>
                <c:pt idx="70">
                  <c:v>111.92271442000001</c:v>
                </c:pt>
              </c:numCache>
            </c:numRef>
          </c:val>
          <c:smooth val="0"/>
          <c:extLst xmlns:c16r2="http://schemas.microsoft.com/office/drawing/2015/06/chart">
            <c:ext xmlns:c16="http://schemas.microsoft.com/office/drawing/2014/chart" uri="{C3380CC4-5D6E-409C-BE32-E72D297353CC}">
              <c16:uniqueId val="{00000000-BD58-48DB-86C0-502E78770F99}"/>
            </c:ext>
          </c:extLst>
        </c:ser>
        <c:ser>
          <c:idx val="1"/>
          <c:order val="1"/>
          <c:tx>
            <c:strRef>
              <c:f>'Figura 3 (segue)'!$C$1</c:f>
              <c:strCache>
                <c:ptCount val="1"/>
                <c:pt idx="0">
                  <c:v>60-69</c:v>
                </c:pt>
              </c:strCache>
            </c:strRef>
          </c:tx>
          <c:spPr>
            <a:ln w="25400" cap="rnd">
              <a:solidFill>
                <a:srgbClr val="FFC000"/>
              </a:solidFill>
              <a:round/>
            </a:ln>
            <a:effectLst/>
          </c:spPr>
          <c:marker>
            <c:symbol val="none"/>
          </c:marker>
          <c:cat>
            <c:numRef>
              <c:f>'Figura 3 (segue)'!$A$2:$A$72</c:f>
              <c:numCache>
                <c:formatCode>d\-mmm</c:formatCode>
                <c:ptCount val="71"/>
                <c:pt idx="0">
                  <c:v>43881</c:v>
                </c:pt>
                <c:pt idx="1">
                  <c:v>43882</c:v>
                </c:pt>
                <c:pt idx="2">
                  <c:v>43883</c:v>
                </c:pt>
                <c:pt idx="3">
                  <c:v>43884</c:v>
                </c:pt>
                <c:pt idx="4">
                  <c:v>43885</c:v>
                </c:pt>
                <c:pt idx="5">
                  <c:v>43886</c:v>
                </c:pt>
                <c:pt idx="6">
                  <c:v>43887</c:v>
                </c:pt>
                <c:pt idx="7">
                  <c:v>43888</c:v>
                </c:pt>
                <c:pt idx="8">
                  <c:v>43889</c:v>
                </c:pt>
                <c:pt idx="9">
                  <c:v>43890</c:v>
                </c:pt>
                <c:pt idx="10">
                  <c:v>43891</c:v>
                </c:pt>
                <c:pt idx="11">
                  <c:v>43892</c:v>
                </c:pt>
                <c:pt idx="12">
                  <c:v>43893</c:v>
                </c:pt>
                <c:pt idx="13">
                  <c:v>43894</c:v>
                </c:pt>
                <c:pt idx="14">
                  <c:v>43895</c:v>
                </c:pt>
                <c:pt idx="15">
                  <c:v>43896</c:v>
                </c:pt>
                <c:pt idx="16">
                  <c:v>43897</c:v>
                </c:pt>
                <c:pt idx="17">
                  <c:v>43898</c:v>
                </c:pt>
                <c:pt idx="18">
                  <c:v>43899</c:v>
                </c:pt>
                <c:pt idx="19">
                  <c:v>43900</c:v>
                </c:pt>
                <c:pt idx="20">
                  <c:v>43901</c:v>
                </c:pt>
                <c:pt idx="21">
                  <c:v>43902</c:v>
                </c:pt>
                <c:pt idx="22">
                  <c:v>43903</c:v>
                </c:pt>
                <c:pt idx="23">
                  <c:v>43904</c:v>
                </c:pt>
                <c:pt idx="24">
                  <c:v>43905</c:v>
                </c:pt>
                <c:pt idx="25">
                  <c:v>43906</c:v>
                </c:pt>
                <c:pt idx="26">
                  <c:v>43907</c:v>
                </c:pt>
                <c:pt idx="27">
                  <c:v>43908</c:v>
                </c:pt>
                <c:pt idx="28">
                  <c:v>43909</c:v>
                </c:pt>
                <c:pt idx="29">
                  <c:v>43910</c:v>
                </c:pt>
                <c:pt idx="30">
                  <c:v>43911</c:v>
                </c:pt>
                <c:pt idx="31">
                  <c:v>43912</c:v>
                </c:pt>
                <c:pt idx="32">
                  <c:v>43913</c:v>
                </c:pt>
                <c:pt idx="33">
                  <c:v>43914</c:v>
                </c:pt>
                <c:pt idx="34">
                  <c:v>43915</c:v>
                </c:pt>
                <c:pt idx="35">
                  <c:v>43916</c:v>
                </c:pt>
                <c:pt idx="36">
                  <c:v>43917</c:v>
                </c:pt>
                <c:pt idx="37">
                  <c:v>43918</c:v>
                </c:pt>
                <c:pt idx="38">
                  <c:v>43919</c:v>
                </c:pt>
                <c:pt idx="39">
                  <c:v>43920</c:v>
                </c:pt>
                <c:pt idx="40">
                  <c:v>43921</c:v>
                </c:pt>
                <c:pt idx="41">
                  <c:v>43922</c:v>
                </c:pt>
                <c:pt idx="42">
                  <c:v>43923</c:v>
                </c:pt>
                <c:pt idx="43">
                  <c:v>43924</c:v>
                </c:pt>
                <c:pt idx="44">
                  <c:v>43925</c:v>
                </c:pt>
                <c:pt idx="45">
                  <c:v>43926</c:v>
                </c:pt>
                <c:pt idx="46">
                  <c:v>43927</c:v>
                </c:pt>
                <c:pt idx="47">
                  <c:v>43928</c:v>
                </c:pt>
                <c:pt idx="48">
                  <c:v>43929</c:v>
                </c:pt>
                <c:pt idx="49">
                  <c:v>43930</c:v>
                </c:pt>
                <c:pt idx="50">
                  <c:v>43931</c:v>
                </c:pt>
                <c:pt idx="51">
                  <c:v>43932</c:v>
                </c:pt>
                <c:pt idx="52">
                  <c:v>43933</c:v>
                </c:pt>
                <c:pt idx="53">
                  <c:v>43934</c:v>
                </c:pt>
                <c:pt idx="54">
                  <c:v>43935</c:v>
                </c:pt>
                <c:pt idx="55">
                  <c:v>43936</c:v>
                </c:pt>
                <c:pt idx="56">
                  <c:v>43937</c:v>
                </c:pt>
                <c:pt idx="57">
                  <c:v>43938</c:v>
                </c:pt>
                <c:pt idx="58">
                  <c:v>43939</c:v>
                </c:pt>
                <c:pt idx="59">
                  <c:v>43940</c:v>
                </c:pt>
                <c:pt idx="60">
                  <c:v>43941</c:v>
                </c:pt>
                <c:pt idx="61">
                  <c:v>43942</c:v>
                </c:pt>
                <c:pt idx="62">
                  <c:v>43943</c:v>
                </c:pt>
                <c:pt idx="63">
                  <c:v>43944</c:v>
                </c:pt>
                <c:pt idx="64">
                  <c:v>43945</c:v>
                </c:pt>
                <c:pt idx="65">
                  <c:v>43946</c:v>
                </c:pt>
                <c:pt idx="66">
                  <c:v>43947</c:v>
                </c:pt>
                <c:pt idx="67">
                  <c:v>43948</c:v>
                </c:pt>
                <c:pt idx="68">
                  <c:v>43949</c:v>
                </c:pt>
                <c:pt idx="69">
                  <c:v>43950</c:v>
                </c:pt>
                <c:pt idx="70">
                  <c:v>43951</c:v>
                </c:pt>
              </c:numCache>
            </c:numRef>
          </c:cat>
          <c:val>
            <c:numRef>
              <c:f>'Figura 3 (segue)'!$C$2:$C$72</c:f>
              <c:numCache>
                <c:formatCode>General</c:formatCode>
                <c:ptCount val="71"/>
                <c:pt idx="0">
                  <c:v>89.445735147999997</c:v>
                </c:pt>
                <c:pt idx="1">
                  <c:v>90.686274510000004</c:v>
                </c:pt>
                <c:pt idx="2">
                  <c:v>91.025641026000002</c:v>
                </c:pt>
                <c:pt idx="3">
                  <c:v>90.823381521000002</c:v>
                </c:pt>
                <c:pt idx="4">
                  <c:v>90.516576714999999</c:v>
                </c:pt>
                <c:pt idx="5">
                  <c:v>90.515933231999995</c:v>
                </c:pt>
                <c:pt idx="6">
                  <c:v>90.542357687000006</c:v>
                </c:pt>
                <c:pt idx="7">
                  <c:v>90.460768438000002</c:v>
                </c:pt>
                <c:pt idx="8">
                  <c:v>90.395480226000004</c:v>
                </c:pt>
                <c:pt idx="9">
                  <c:v>91.664258884999995</c:v>
                </c:pt>
                <c:pt idx="10">
                  <c:v>91.561301321000002</c:v>
                </c:pt>
                <c:pt idx="11">
                  <c:v>91.398601399</c:v>
                </c:pt>
                <c:pt idx="12">
                  <c:v>91.616189426999995</c:v>
                </c:pt>
                <c:pt idx="13">
                  <c:v>91.749354355999998</c:v>
                </c:pt>
                <c:pt idx="14">
                  <c:v>91.994099504000005</c:v>
                </c:pt>
                <c:pt idx="15">
                  <c:v>91.660058155000002</c:v>
                </c:pt>
                <c:pt idx="16">
                  <c:v>91.850019528999994</c:v>
                </c:pt>
                <c:pt idx="17">
                  <c:v>91.864189621999998</c:v>
                </c:pt>
                <c:pt idx="18">
                  <c:v>92.482627922000006</c:v>
                </c:pt>
                <c:pt idx="19">
                  <c:v>93.149488395000006</c:v>
                </c:pt>
                <c:pt idx="20">
                  <c:v>93.723023800999997</c:v>
                </c:pt>
                <c:pt idx="21">
                  <c:v>93.715747167999993</c:v>
                </c:pt>
                <c:pt idx="22">
                  <c:v>93.678917753999997</c:v>
                </c:pt>
                <c:pt idx="23">
                  <c:v>94.773560364000005</c:v>
                </c:pt>
                <c:pt idx="24">
                  <c:v>95.805584765000006</c:v>
                </c:pt>
                <c:pt idx="25">
                  <c:v>96.293311845000005</c:v>
                </c:pt>
                <c:pt idx="26">
                  <c:v>97.873066424000001</c:v>
                </c:pt>
                <c:pt idx="27">
                  <c:v>98.220319892000006</c:v>
                </c:pt>
                <c:pt idx="28">
                  <c:v>99.521850327999999</c:v>
                </c:pt>
                <c:pt idx="29">
                  <c:v>100.43956043999999</c:v>
                </c:pt>
                <c:pt idx="30">
                  <c:v>101.97654214000001</c:v>
                </c:pt>
                <c:pt idx="31">
                  <c:v>103.09777348</c:v>
                </c:pt>
                <c:pt idx="32">
                  <c:v>104.31080362</c:v>
                </c:pt>
                <c:pt idx="33">
                  <c:v>106.01749393999999</c:v>
                </c:pt>
                <c:pt idx="34">
                  <c:v>107.10564701</c:v>
                </c:pt>
                <c:pt idx="35">
                  <c:v>107.75105790000001</c:v>
                </c:pt>
                <c:pt idx="36">
                  <c:v>108.51802676</c:v>
                </c:pt>
                <c:pt idx="37">
                  <c:v>110.04953999</c:v>
                </c:pt>
                <c:pt idx="38">
                  <c:v>110.99979964000001</c:v>
                </c:pt>
                <c:pt idx="39">
                  <c:v>111.66203887</c:v>
                </c:pt>
                <c:pt idx="40">
                  <c:v>112.48157248</c:v>
                </c:pt>
                <c:pt idx="41">
                  <c:v>113.38598030999999</c:v>
                </c:pt>
                <c:pt idx="42">
                  <c:v>113.83605291000001</c:v>
                </c:pt>
                <c:pt idx="43">
                  <c:v>114.00993884</c:v>
                </c:pt>
                <c:pt idx="44">
                  <c:v>114.79060072</c:v>
                </c:pt>
                <c:pt idx="45">
                  <c:v>115.39183482</c:v>
                </c:pt>
                <c:pt idx="46">
                  <c:v>115.51692079</c:v>
                </c:pt>
                <c:pt idx="47">
                  <c:v>115.65721649</c:v>
                </c:pt>
                <c:pt idx="48">
                  <c:v>115.48628202</c:v>
                </c:pt>
                <c:pt idx="49">
                  <c:v>115.69688769</c:v>
                </c:pt>
                <c:pt idx="50">
                  <c:v>115.79747741</c:v>
                </c:pt>
                <c:pt idx="51">
                  <c:v>115.94010278</c:v>
                </c:pt>
                <c:pt idx="52">
                  <c:v>116.41489549000001</c:v>
                </c:pt>
                <c:pt idx="53">
                  <c:v>116.60577592</c:v>
                </c:pt>
                <c:pt idx="54">
                  <c:v>117.261031</c:v>
                </c:pt>
                <c:pt idx="55">
                  <c:v>117.63446386</c:v>
                </c:pt>
                <c:pt idx="56">
                  <c:v>118.32158328</c:v>
                </c:pt>
                <c:pt idx="57">
                  <c:v>118.57840659999999</c:v>
                </c:pt>
                <c:pt idx="58">
                  <c:v>118.83670399</c:v>
                </c:pt>
                <c:pt idx="59">
                  <c:v>118.48969115</c:v>
                </c:pt>
                <c:pt idx="60">
                  <c:v>118.76181862999999</c:v>
                </c:pt>
                <c:pt idx="61">
                  <c:v>118.83809989</c:v>
                </c:pt>
                <c:pt idx="62">
                  <c:v>118.71869445999999</c:v>
                </c:pt>
                <c:pt idx="63">
                  <c:v>118.74599102000001</c:v>
                </c:pt>
                <c:pt idx="64">
                  <c:v>118.84104115</c:v>
                </c:pt>
                <c:pt idx="65">
                  <c:v>118.56646669</c:v>
                </c:pt>
                <c:pt idx="66">
                  <c:v>118.42208148</c:v>
                </c:pt>
                <c:pt idx="67">
                  <c:v>118.02541847000001</c:v>
                </c:pt>
                <c:pt idx="68">
                  <c:v>118.05181825</c:v>
                </c:pt>
                <c:pt idx="69">
                  <c:v>117.69418587</c:v>
                </c:pt>
                <c:pt idx="70">
                  <c:v>117.4351585</c:v>
                </c:pt>
              </c:numCache>
            </c:numRef>
          </c:val>
          <c:smooth val="0"/>
          <c:extLst xmlns:c16r2="http://schemas.microsoft.com/office/drawing/2015/06/chart">
            <c:ext xmlns:c16="http://schemas.microsoft.com/office/drawing/2014/chart" uri="{C3380CC4-5D6E-409C-BE32-E72D297353CC}">
              <c16:uniqueId val="{00000001-BD58-48DB-86C0-502E78770F99}"/>
            </c:ext>
          </c:extLst>
        </c:ser>
        <c:ser>
          <c:idx val="2"/>
          <c:order val="2"/>
          <c:tx>
            <c:strRef>
              <c:f>'Figura 3 (segue)'!$D$1</c:f>
              <c:strCache>
                <c:ptCount val="1"/>
                <c:pt idx="0">
                  <c:v>70-79</c:v>
                </c:pt>
              </c:strCache>
            </c:strRef>
          </c:tx>
          <c:spPr>
            <a:ln w="25400" cap="rnd">
              <a:solidFill>
                <a:srgbClr val="00B0F0"/>
              </a:solidFill>
              <a:round/>
            </a:ln>
            <a:effectLst/>
          </c:spPr>
          <c:marker>
            <c:symbol val="none"/>
          </c:marker>
          <c:cat>
            <c:numRef>
              <c:f>'Figura 3 (segue)'!$A$2:$A$72</c:f>
              <c:numCache>
                <c:formatCode>d\-mmm</c:formatCode>
                <c:ptCount val="71"/>
                <c:pt idx="0">
                  <c:v>43881</c:v>
                </c:pt>
                <c:pt idx="1">
                  <c:v>43882</c:v>
                </c:pt>
                <c:pt idx="2">
                  <c:v>43883</c:v>
                </c:pt>
                <c:pt idx="3">
                  <c:v>43884</c:v>
                </c:pt>
                <c:pt idx="4">
                  <c:v>43885</c:v>
                </c:pt>
                <c:pt idx="5">
                  <c:v>43886</c:v>
                </c:pt>
                <c:pt idx="6">
                  <c:v>43887</c:v>
                </c:pt>
                <c:pt idx="7">
                  <c:v>43888</c:v>
                </c:pt>
                <c:pt idx="8">
                  <c:v>43889</c:v>
                </c:pt>
                <c:pt idx="9">
                  <c:v>43890</c:v>
                </c:pt>
                <c:pt idx="10">
                  <c:v>43891</c:v>
                </c:pt>
                <c:pt idx="11">
                  <c:v>43892</c:v>
                </c:pt>
                <c:pt idx="12">
                  <c:v>43893</c:v>
                </c:pt>
                <c:pt idx="13">
                  <c:v>43894</c:v>
                </c:pt>
                <c:pt idx="14">
                  <c:v>43895</c:v>
                </c:pt>
                <c:pt idx="15">
                  <c:v>43896</c:v>
                </c:pt>
                <c:pt idx="16">
                  <c:v>43897</c:v>
                </c:pt>
                <c:pt idx="17">
                  <c:v>43898</c:v>
                </c:pt>
                <c:pt idx="18">
                  <c:v>43899</c:v>
                </c:pt>
                <c:pt idx="19">
                  <c:v>43900</c:v>
                </c:pt>
                <c:pt idx="20">
                  <c:v>43901</c:v>
                </c:pt>
                <c:pt idx="21">
                  <c:v>43902</c:v>
                </c:pt>
                <c:pt idx="22">
                  <c:v>43903</c:v>
                </c:pt>
                <c:pt idx="23">
                  <c:v>43904</c:v>
                </c:pt>
                <c:pt idx="24">
                  <c:v>43905</c:v>
                </c:pt>
                <c:pt idx="25">
                  <c:v>43906</c:v>
                </c:pt>
                <c:pt idx="26">
                  <c:v>43907</c:v>
                </c:pt>
                <c:pt idx="27">
                  <c:v>43908</c:v>
                </c:pt>
                <c:pt idx="28">
                  <c:v>43909</c:v>
                </c:pt>
                <c:pt idx="29">
                  <c:v>43910</c:v>
                </c:pt>
                <c:pt idx="30">
                  <c:v>43911</c:v>
                </c:pt>
                <c:pt idx="31">
                  <c:v>43912</c:v>
                </c:pt>
                <c:pt idx="32">
                  <c:v>43913</c:v>
                </c:pt>
                <c:pt idx="33">
                  <c:v>43914</c:v>
                </c:pt>
                <c:pt idx="34">
                  <c:v>43915</c:v>
                </c:pt>
                <c:pt idx="35">
                  <c:v>43916</c:v>
                </c:pt>
                <c:pt idx="36">
                  <c:v>43917</c:v>
                </c:pt>
                <c:pt idx="37">
                  <c:v>43918</c:v>
                </c:pt>
                <c:pt idx="38">
                  <c:v>43919</c:v>
                </c:pt>
                <c:pt idx="39">
                  <c:v>43920</c:v>
                </c:pt>
                <c:pt idx="40">
                  <c:v>43921</c:v>
                </c:pt>
                <c:pt idx="41">
                  <c:v>43922</c:v>
                </c:pt>
                <c:pt idx="42">
                  <c:v>43923</c:v>
                </c:pt>
                <c:pt idx="43">
                  <c:v>43924</c:v>
                </c:pt>
                <c:pt idx="44">
                  <c:v>43925</c:v>
                </c:pt>
                <c:pt idx="45">
                  <c:v>43926</c:v>
                </c:pt>
                <c:pt idx="46">
                  <c:v>43927</c:v>
                </c:pt>
                <c:pt idx="47">
                  <c:v>43928</c:v>
                </c:pt>
                <c:pt idx="48">
                  <c:v>43929</c:v>
                </c:pt>
                <c:pt idx="49">
                  <c:v>43930</c:v>
                </c:pt>
                <c:pt idx="50">
                  <c:v>43931</c:v>
                </c:pt>
                <c:pt idx="51">
                  <c:v>43932</c:v>
                </c:pt>
                <c:pt idx="52">
                  <c:v>43933</c:v>
                </c:pt>
                <c:pt idx="53">
                  <c:v>43934</c:v>
                </c:pt>
                <c:pt idx="54">
                  <c:v>43935</c:v>
                </c:pt>
                <c:pt idx="55">
                  <c:v>43936</c:v>
                </c:pt>
                <c:pt idx="56">
                  <c:v>43937</c:v>
                </c:pt>
                <c:pt idx="57">
                  <c:v>43938</c:v>
                </c:pt>
                <c:pt idx="58">
                  <c:v>43939</c:v>
                </c:pt>
                <c:pt idx="59">
                  <c:v>43940</c:v>
                </c:pt>
                <c:pt idx="60">
                  <c:v>43941</c:v>
                </c:pt>
                <c:pt idx="61">
                  <c:v>43942</c:v>
                </c:pt>
                <c:pt idx="62">
                  <c:v>43943</c:v>
                </c:pt>
                <c:pt idx="63">
                  <c:v>43944</c:v>
                </c:pt>
                <c:pt idx="64">
                  <c:v>43945</c:v>
                </c:pt>
                <c:pt idx="65">
                  <c:v>43946</c:v>
                </c:pt>
                <c:pt idx="66">
                  <c:v>43947</c:v>
                </c:pt>
                <c:pt idx="67">
                  <c:v>43948</c:v>
                </c:pt>
                <c:pt idx="68">
                  <c:v>43949</c:v>
                </c:pt>
                <c:pt idx="69">
                  <c:v>43950</c:v>
                </c:pt>
                <c:pt idx="70">
                  <c:v>43951</c:v>
                </c:pt>
              </c:numCache>
            </c:numRef>
          </c:cat>
          <c:val>
            <c:numRef>
              <c:f>'Figura 3 (segue)'!$D$2:$D$72</c:f>
              <c:numCache>
                <c:formatCode>General</c:formatCode>
                <c:ptCount val="71"/>
                <c:pt idx="0">
                  <c:v>86.525047559000001</c:v>
                </c:pt>
                <c:pt idx="1">
                  <c:v>86.919962627999993</c:v>
                </c:pt>
                <c:pt idx="2">
                  <c:v>87.108227228000004</c:v>
                </c:pt>
                <c:pt idx="3">
                  <c:v>87.213510252999995</c:v>
                </c:pt>
                <c:pt idx="4">
                  <c:v>87.751588197000004</c:v>
                </c:pt>
                <c:pt idx="5">
                  <c:v>87.764403411999993</c:v>
                </c:pt>
                <c:pt idx="6">
                  <c:v>88.418144139999995</c:v>
                </c:pt>
                <c:pt idx="7">
                  <c:v>88.153645686000004</c:v>
                </c:pt>
                <c:pt idx="8">
                  <c:v>88.808261234</c:v>
                </c:pt>
                <c:pt idx="9">
                  <c:v>90.476455526999999</c:v>
                </c:pt>
                <c:pt idx="10">
                  <c:v>90.836762688999997</c:v>
                </c:pt>
                <c:pt idx="11">
                  <c:v>91.039290926000007</c:v>
                </c:pt>
                <c:pt idx="12">
                  <c:v>91.524159608000005</c:v>
                </c:pt>
                <c:pt idx="13">
                  <c:v>91.695501730000004</c:v>
                </c:pt>
                <c:pt idx="14">
                  <c:v>91.925241365000005</c:v>
                </c:pt>
                <c:pt idx="15">
                  <c:v>92.478484494</c:v>
                </c:pt>
                <c:pt idx="16">
                  <c:v>92.800561516000002</c:v>
                </c:pt>
                <c:pt idx="17">
                  <c:v>93.043392212000001</c:v>
                </c:pt>
                <c:pt idx="18">
                  <c:v>93.624914575999995</c:v>
                </c:pt>
                <c:pt idx="19">
                  <c:v>94.621897247999996</c:v>
                </c:pt>
                <c:pt idx="20">
                  <c:v>95.630100588000005</c:v>
                </c:pt>
                <c:pt idx="21">
                  <c:v>96.721311474999993</c:v>
                </c:pt>
                <c:pt idx="22">
                  <c:v>97.900480947000005</c:v>
                </c:pt>
                <c:pt idx="23">
                  <c:v>99.141865984999995</c:v>
                </c:pt>
                <c:pt idx="24">
                  <c:v>100.27045301</c:v>
                </c:pt>
                <c:pt idx="25">
                  <c:v>102.16828768000001</c:v>
                </c:pt>
                <c:pt idx="26">
                  <c:v>103.71953637999999</c:v>
                </c:pt>
                <c:pt idx="27">
                  <c:v>105.05904397</c:v>
                </c:pt>
                <c:pt idx="28">
                  <c:v>106.58672303</c:v>
                </c:pt>
                <c:pt idx="29">
                  <c:v>107.96350769</c:v>
                </c:pt>
                <c:pt idx="30">
                  <c:v>109.52040086</c:v>
                </c:pt>
                <c:pt idx="31">
                  <c:v>111.8349846</c:v>
                </c:pt>
                <c:pt idx="32">
                  <c:v>113.64290708999999</c:v>
                </c:pt>
                <c:pt idx="33">
                  <c:v>115.45661729</c:v>
                </c:pt>
                <c:pt idx="34">
                  <c:v>117.41021098</c:v>
                </c:pt>
                <c:pt idx="35">
                  <c:v>119.38689977</c:v>
                </c:pt>
                <c:pt idx="36">
                  <c:v>120.74205644</c:v>
                </c:pt>
                <c:pt idx="37">
                  <c:v>122.40437158</c:v>
                </c:pt>
                <c:pt idx="38">
                  <c:v>123.30885195</c:v>
                </c:pt>
                <c:pt idx="39">
                  <c:v>124.26363705999999</c:v>
                </c:pt>
                <c:pt idx="40">
                  <c:v>125.05675798</c:v>
                </c:pt>
                <c:pt idx="41">
                  <c:v>125.87098224</c:v>
                </c:pt>
                <c:pt idx="42">
                  <c:v>126.72605790999999</c:v>
                </c:pt>
                <c:pt idx="43">
                  <c:v>127.40773416</c:v>
                </c:pt>
                <c:pt idx="44">
                  <c:v>128.04101967</c:v>
                </c:pt>
                <c:pt idx="45">
                  <c:v>128.94101538999999</c:v>
                </c:pt>
                <c:pt idx="46">
                  <c:v>129.49614616</c:v>
                </c:pt>
                <c:pt idx="47">
                  <c:v>129.71473011</c:v>
                </c:pt>
                <c:pt idx="48">
                  <c:v>130.12930581000001</c:v>
                </c:pt>
                <c:pt idx="49">
                  <c:v>130.65553817</c:v>
                </c:pt>
                <c:pt idx="50">
                  <c:v>130.90683487000001</c:v>
                </c:pt>
                <c:pt idx="51">
                  <c:v>131.32003280000001</c:v>
                </c:pt>
                <c:pt idx="52">
                  <c:v>131.59678676999999</c:v>
                </c:pt>
                <c:pt idx="53">
                  <c:v>131.83101432000001</c:v>
                </c:pt>
                <c:pt idx="54">
                  <c:v>131.81183046000001</c:v>
                </c:pt>
                <c:pt idx="55">
                  <c:v>131.84112426999999</c:v>
                </c:pt>
                <c:pt idx="56">
                  <c:v>131.95012599</c:v>
                </c:pt>
                <c:pt idx="57">
                  <c:v>132.04425266999999</c:v>
                </c:pt>
                <c:pt idx="58">
                  <c:v>132.32550659</c:v>
                </c:pt>
                <c:pt idx="59">
                  <c:v>132.29429218999999</c:v>
                </c:pt>
                <c:pt idx="60">
                  <c:v>132.36970425999999</c:v>
                </c:pt>
                <c:pt idx="61">
                  <c:v>132.60206808000001</c:v>
                </c:pt>
                <c:pt idx="62">
                  <c:v>132.70179161999999</c:v>
                </c:pt>
                <c:pt idx="63">
                  <c:v>132.47030437999999</c:v>
                </c:pt>
                <c:pt idx="64">
                  <c:v>132.51550696999999</c:v>
                </c:pt>
                <c:pt idx="65">
                  <c:v>132.42329139</c:v>
                </c:pt>
                <c:pt idx="66">
                  <c:v>132.19016511999999</c:v>
                </c:pt>
                <c:pt idx="67">
                  <c:v>132.00696195</c:v>
                </c:pt>
                <c:pt idx="68">
                  <c:v>132.04482461000001</c:v>
                </c:pt>
                <c:pt idx="69">
                  <c:v>131.87561026</c:v>
                </c:pt>
                <c:pt idx="70">
                  <c:v>131.79080357999999</c:v>
                </c:pt>
              </c:numCache>
            </c:numRef>
          </c:val>
          <c:smooth val="0"/>
          <c:extLst xmlns:c16r2="http://schemas.microsoft.com/office/drawing/2015/06/chart">
            <c:ext xmlns:c16="http://schemas.microsoft.com/office/drawing/2014/chart" uri="{C3380CC4-5D6E-409C-BE32-E72D297353CC}">
              <c16:uniqueId val="{00000002-BD58-48DB-86C0-502E78770F99}"/>
            </c:ext>
          </c:extLst>
        </c:ser>
        <c:ser>
          <c:idx val="3"/>
          <c:order val="3"/>
          <c:tx>
            <c:strRef>
              <c:f>'Figura 3 (segue)'!$E$1</c:f>
              <c:strCache>
                <c:ptCount val="1"/>
                <c:pt idx="0">
                  <c:v>80-89</c:v>
                </c:pt>
              </c:strCache>
            </c:strRef>
          </c:tx>
          <c:spPr>
            <a:ln w="25400" cap="rnd">
              <a:solidFill>
                <a:srgbClr val="92D050"/>
              </a:solidFill>
              <a:round/>
            </a:ln>
            <a:effectLst/>
          </c:spPr>
          <c:marker>
            <c:symbol val="none"/>
          </c:marker>
          <c:cat>
            <c:numRef>
              <c:f>'Figura 3 (segue)'!$A$2:$A$72</c:f>
              <c:numCache>
                <c:formatCode>d\-mmm</c:formatCode>
                <c:ptCount val="71"/>
                <c:pt idx="0">
                  <c:v>43881</c:v>
                </c:pt>
                <c:pt idx="1">
                  <c:v>43882</c:v>
                </c:pt>
                <c:pt idx="2">
                  <c:v>43883</c:v>
                </c:pt>
                <c:pt idx="3">
                  <c:v>43884</c:v>
                </c:pt>
                <c:pt idx="4">
                  <c:v>43885</c:v>
                </c:pt>
                <c:pt idx="5">
                  <c:v>43886</c:v>
                </c:pt>
                <c:pt idx="6">
                  <c:v>43887</c:v>
                </c:pt>
                <c:pt idx="7">
                  <c:v>43888</c:v>
                </c:pt>
                <c:pt idx="8">
                  <c:v>43889</c:v>
                </c:pt>
                <c:pt idx="9">
                  <c:v>43890</c:v>
                </c:pt>
                <c:pt idx="10">
                  <c:v>43891</c:v>
                </c:pt>
                <c:pt idx="11">
                  <c:v>43892</c:v>
                </c:pt>
                <c:pt idx="12">
                  <c:v>43893</c:v>
                </c:pt>
                <c:pt idx="13">
                  <c:v>43894</c:v>
                </c:pt>
                <c:pt idx="14">
                  <c:v>43895</c:v>
                </c:pt>
                <c:pt idx="15">
                  <c:v>43896</c:v>
                </c:pt>
                <c:pt idx="16">
                  <c:v>43897</c:v>
                </c:pt>
                <c:pt idx="17">
                  <c:v>43898</c:v>
                </c:pt>
                <c:pt idx="18">
                  <c:v>43899</c:v>
                </c:pt>
                <c:pt idx="19">
                  <c:v>43900</c:v>
                </c:pt>
                <c:pt idx="20">
                  <c:v>43901</c:v>
                </c:pt>
                <c:pt idx="21">
                  <c:v>43902</c:v>
                </c:pt>
                <c:pt idx="22">
                  <c:v>43903</c:v>
                </c:pt>
                <c:pt idx="23">
                  <c:v>43904</c:v>
                </c:pt>
                <c:pt idx="24">
                  <c:v>43905</c:v>
                </c:pt>
                <c:pt idx="25">
                  <c:v>43906</c:v>
                </c:pt>
                <c:pt idx="26">
                  <c:v>43907</c:v>
                </c:pt>
                <c:pt idx="27">
                  <c:v>43908</c:v>
                </c:pt>
                <c:pt idx="28">
                  <c:v>43909</c:v>
                </c:pt>
                <c:pt idx="29">
                  <c:v>43910</c:v>
                </c:pt>
                <c:pt idx="30">
                  <c:v>43911</c:v>
                </c:pt>
                <c:pt idx="31">
                  <c:v>43912</c:v>
                </c:pt>
                <c:pt idx="32">
                  <c:v>43913</c:v>
                </c:pt>
                <c:pt idx="33">
                  <c:v>43914</c:v>
                </c:pt>
                <c:pt idx="34">
                  <c:v>43915</c:v>
                </c:pt>
                <c:pt idx="35">
                  <c:v>43916</c:v>
                </c:pt>
                <c:pt idx="36">
                  <c:v>43917</c:v>
                </c:pt>
                <c:pt idx="37">
                  <c:v>43918</c:v>
                </c:pt>
                <c:pt idx="38">
                  <c:v>43919</c:v>
                </c:pt>
                <c:pt idx="39">
                  <c:v>43920</c:v>
                </c:pt>
                <c:pt idx="40">
                  <c:v>43921</c:v>
                </c:pt>
                <c:pt idx="41">
                  <c:v>43922</c:v>
                </c:pt>
                <c:pt idx="42">
                  <c:v>43923</c:v>
                </c:pt>
                <c:pt idx="43">
                  <c:v>43924</c:v>
                </c:pt>
                <c:pt idx="44">
                  <c:v>43925</c:v>
                </c:pt>
                <c:pt idx="45">
                  <c:v>43926</c:v>
                </c:pt>
                <c:pt idx="46">
                  <c:v>43927</c:v>
                </c:pt>
                <c:pt idx="47">
                  <c:v>43928</c:v>
                </c:pt>
                <c:pt idx="48">
                  <c:v>43929</c:v>
                </c:pt>
                <c:pt idx="49">
                  <c:v>43930</c:v>
                </c:pt>
                <c:pt idx="50">
                  <c:v>43931</c:v>
                </c:pt>
                <c:pt idx="51">
                  <c:v>43932</c:v>
                </c:pt>
                <c:pt idx="52">
                  <c:v>43933</c:v>
                </c:pt>
                <c:pt idx="53">
                  <c:v>43934</c:v>
                </c:pt>
                <c:pt idx="54">
                  <c:v>43935</c:v>
                </c:pt>
                <c:pt idx="55">
                  <c:v>43936</c:v>
                </c:pt>
                <c:pt idx="56">
                  <c:v>43937</c:v>
                </c:pt>
                <c:pt idx="57">
                  <c:v>43938</c:v>
                </c:pt>
                <c:pt idx="58">
                  <c:v>43939</c:v>
                </c:pt>
                <c:pt idx="59">
                  <c:v>43940</c:v>
                </c:pt>
                <c:pt idx="60">
                  <c:v>43941</c:v>
                </c:pt>
                <c:pt idx="61">
                  <c:v>43942</c:v>
                </c:pt>
                <c:pt idx="62">
                  <c:v>43943</c:v>
                </c:pt>
                <c:pt idx="63">
                  <c:v>43944</c:v>
                </c:pt>
                <c:pt idx="64">
                  <c:v>43945</c:v>
                </c:pt>
                <c:pt idx="65">
                  <c:v>43946</c:v>
                </c:pt>
                <c:pt idx="66">
                  <c:v>43947</c:v>
                </c:pt>
                <c:pt idx="67">
                  <c:v>43948</c:v>
                </c:pt>
                <c:pt idx="68">
                  <c:v>43949</c:v>
                </c:pt>
                <c:pt idx="69">
                  <c:v>43950</c:v>
                </c:pt>
                <c:pt idx="70">
                  <c:v>43951</c:v>
                </c:pt>
              </c:numCache>
            </c:numRef>
          </c:cat>
          <c:val>
            <c:numRef>
              <c:f>'Figura 3 (segue)'!$E$2:$E$72</c:f>
              <c:numCache>
                <c:formatCode>General</c:formatCode>
                <c:ptCount val="71"/>
                <c:pt idx="0">
                  <c:v>85.698982325000003</c:v>
                </c:pt>
                <c:pt idx="1">
                  <c:v>85.728330704000001</c:v>
                </c:pt>
                <c:pt idx="2">
                  <c:v>85.578304598000003</c:v>
                </c:pt>
                <c:pt idx="3">
                  <c:v>85.884428760000006</c:v>
                </c:pt>
                <c:pt idx="4">
                  <c:v>86.332183684</c:v>
                </c:pt>
                <c:pt idx="5">
                  <c:v>86.684034080000004</c:v>
                </c:pt>
                <c:pt idx="6">
                  <c:v>86.783724109000005</c:v>
                </c:pt>
                <c:pt idx="7">
                  <c:v>86.921899561999993</c:v>
                </c:pt>
                <c:pt idx="8">
                  <c:v>87.068983075000006</c:v>
                </c:pt>
                <c:pt idx="9">
                  <c:v>88.306967487999998</c:v>
                </c:pt>
                <c:pt idx="10">
                  <c:v>88.251164091999996</c:v>
                </c:pt>
                <c:pt idx="11">
                  <c:v>88.441330997999998</c:v>
                </c:pt>
                <c:pt idx="12">
                  <c:v>88.528750775000006</c:v>
                </c:pt>
                <c:pt idx="13">
                  <c:v>88.860885171999996</c:v>
                </c:pt>
                <c:pt idx="14">
                  <c:v>89.247412982</c:v>
                </c:pt>
                <c:pt idx="15">
                  <c:v>89.819080169000003</c:v>
                </c:pt>
                <c:pt idx="16">
                  <c:v>90.151334930999994</c:v>
                </c:pt>
                <c:pt idx="17">
                  <c:v>90.648717022</c:v>
                </c:pt>
                <c:pt idx="18">
                  <c:v>91.381063674000004</c:v>
                </c:pt>
                <c:pt idx="19">
                  <c:v>92.061955470000001</c:v>
                </c:pt>
                <c:pt idx="20">
                  <c:v>92.836282724</c:v>
                </c:pt>
                <c:pt idx="21">
                  <c:v>93.847659604</c:v>
                </c:pt>
                <c:pt idx="22">
                  <c:v>94.991012988999998</c:v>
                </c:pt>
                <c:pt idx="23">
                  <c:v>96.234765553000003</c:v>
                </c:pt>
                <c:pt idx="24">
                  <c:v>97.399260720000001</c:v>
                </c:pt>
                <c:pt idx="25">
                  <c:v>98.367099594999999</c:v>
                </c:pt>
                <c:pt idx="26">
                  <c:v>99.600239533000007</c:v>
                </c:pt>
                <c:pt idx="27">
                  <c:v>101.10911943000001</c:v>
                </c:pt>
                <c:pt idx="28">
                  <c:v>102.60387812</c:v>
                </c:pt>
                <c:pt idx="29">
                  <c:v>104.45704263</c:v>
                </c:pt>
                <c:pt idx="30">
                  <c:v>106.11385487</c:v>
                </c:pt>
                <c:pt idx="31">
                  <c:v>107.78956391</c:v>
                </c:pt>
                <c:pt idx="32">
                  <c:v>109.44930785</c:v>
                </c:pt>
                <c:pt idx="33">
                  <c:v>110.99036169999999</c:v>
                </c:pt>
                <c:pt idx="34">
                  <c:v>112.40131774</c:v>
                </c:pt>
                <c:pt idx="35">
                  <c:v>114.06047961</c:v>
                </c:pt>
                <c:pt idx="36">
                  <c:v>115.82623881000001</c:v>
                </c:pt>
                <c:pt idx="37">
                  <c:v>117.44666753</c:v>
                </c:pt>
                <c:pt idx="38">
                  <c:v>119.00991512</c:v>
                </c:pt>
                <c:pt idx="39">
                  <c:v>120.47460979</c:v>
                </c:pt>
                <c:pt idx="40">
                  <c:v>121.53224453</c:v>
                </c:pt>
                <c:pt idx="41">
                  <c:v>122.64373070000001</c:v>
                </c:pt>
                <c:pt idx="42">
                  <c:v>123.49534018999999</c:v>
                </c:pt>
                <c:pt idx="43">
                  <c:v>124.47977586</c:v>
                </c:pt>
                <c:pt idx="44">
                  <c:v>125.24248303</c:v>
                </c:pt>
                <c:pt idx="45">
                  <c:v>126.18837793</c:v>
                </c:pt>
                <c:pt idx="46">
                  <c:v>127.07288344</c:v>
                </c:pt>
                <c:pt idx="47">
                  <c:v>127.96908218</c:v>
                </c:pt>
                <c:pt idx="48">
                  <c:v>128.73044564</c:v>
                </c:pt>
                <c:pt idx="49">
                  <c:v>129.34069192999999</c:v>
                </c:pt>
                <c:pt idx="50">
                  <c:v>129.86373861999999</c:v>
                </c:pt>
                <c:pt idx="51">
                  <c:v>130.45572059</c:v>
                </c:pt>
                <c:pt idx="52">
                  <c:v>131.14197725</c:v>
                </c:pt>
                <c:pt idx="53">
                  <c:v>131.763577</c:v>
                </c:pt>
                <c:pt idx="54">
                  <c:v>132.39748297</c:v>
                </c:pt>
                <c:pt idx="55">
                  <c:v>132.87189171</c:v>
                </c:pt>
                <c:pt idx="56">
                  <c:v>133.21369913000001</c:v>
                </c:pt>
                <c:pt idx="57">
                  <c:v>133.6466982</c:v>
                </c:pt>
                <c:pt idx="58">
                  <c:v>134.0283929</c:v>
                </c:pt>
                <c:pt idx="59">
                  <c:v>134.37047068999999</c:v>
                </c:pt>
                <c:pt idx="60">
                  <c:v>134.56055608</c:v>
                </c:pt>
                <c:pt idx="61">
                  <c:v>134.7473779</c:v>
                </c:pt>
                <c:pt idx="62">
                  <c:v>134.68054491999999</c:v>
                </c:pt>
                <c:pt idx="63">
                  <c:v>134.77154145</c:v>
                </c:pt>
                <c:pt idx="64">
                  <c:v>134.84720253</c:v>
                </c:pt>
                <c:pt idx="65">
                  <c:v>134.85844718000001</c:v>
                </c:pt>
                <c:pt idx="66">
                  <c:v>134.97050164000001</c:v>
                </c:pt>
                <c:pt idx="67">
                  <c:v>134.97564525999999</c:v>
                </c:pt>
                <c:pt idx="68">
                  <c:v>134.96229731</c:v>
                </c:pt>
                <c:pt idx="69">
                  <c:v>134.92642185</c:v>
                </c:pt>
                <c:pt idx="70">
                  <c:v>134.78642321000001</c:v>
                </c:pt>
              </c:numCache>
            </c:numRef>
          </c:val>
          <c:smooth val="0"/>
          <c:extLst xmlns:c16r2="http://schemas.microsoft.com/office/drawing/2015/06/chart">
            <c:ext xmlns:c16="http://schemas.microsoft.com/office/drawing/2014/chart" uri="{C3380CC4-5D6E-409C-BE32-E72D297353CC}">
              <c16:uniqueId val="{00000003-BD58-48DB-86C0-502E78770F99}"/>
            </c:ext>
          </c:extLst>
        </c:ser>
        <c:ser>
          <c:idx val="4"/>
          <c:order val="4"/>
          <c:tx>
            <c:strRef>
              <c:f>'Figura 3 (segue)'!$F$1</c:f>
              <c:strCache>
                <c:ptCount val="1"/>
                <c:pt idx="0">
                  <c:v>90+</c:v>
                </c:pt>
              </c:strCache>
            </c:strRef>
          </c:tx>
          <c:spPr>
            <a:ln w="25400" cap="rnd">
              <a:solidFill>
                <a:srgbClr val="FF0000"/>
              </a:solidFill>
              <a:round/>
            </a:ln>
            <a:effectLst/>
          </c:spPr>
          <c:marker>
            <c:symbol val="none"/>
          </c:marker>
          <c:cat>
            <c:numRef>
              <c:f>'Figura 3 (segue)'!$A$2:$A$72</c:f>
              <c:numCache>
                <c:formatCode>d\-mmm</c:formatCode>
                <c:ptCount val="71"/>
                <c:pt idx="0">
                  <c:v>43881</c:v>
                </c:pt>
                <c:pt idx="1">
                  <c:v>43882</c:v>
                </c:pt>
                <c:pt idx="2">
                  <c:v>43883</c:v>
                </c:pt>
                <c:pt idx="3">
                  <c:v>43884</c:v>
                </c:pt>
                <c:pt idx="4">
                  <c:v>43885</c:v>
                </c:pt>
                <c:pt idx="5">
                  <c:v>43886</c:v>
                </c:pt>
                <c:pt idx="6">
                  <c:v>43887</c:v>
                </c:pt>
                <c:pt idx="7">
                  <c:v>43888</c:v>
                </c:pt>
                <c:pt idx="8">
                  <c:v>43889</c:v>
                </c:pt>
                <c:pt idx="9">
                  <c:v>43890</c:v>
                </c:pt>
                <c:pt idx="10">
                  <c:v>43891</c:v>
                </c:pt>
                <c:pt idx="11">
                  <c:v>43892</c:v>
                </c:pt>
                <c:pt idx="12">
                  <c:v>43893</c:v>
                </c:pt>
                <c:pt idx="13">
                  <c:v>43894</c:v>
                </c:pt>
                <c:pt idx="14">
                  <c:v>43895</c:v>
                </c:pt>
                <c:pt idx="15">
                  <c:v>43896</c:v>
                </c:pt>
                <c:pt idx="16">
                  <c:v>43897</c:v>
                </c:pt>
                <c:pt idx="17">
                  <c:v>43898</c:v>
                </c:pt>
                <c:pt idx="18">
                  <c:v>43899</c:v>
                </c:pt>
                <c:pt idx="19">
                  <c:v>43900</c:v>
                </c:pt>
                <c:pt idx="20">
                  <c:v>43901</c:v>
                </c:pt>
                <c:pt idx="21">
                  <c:v>43902</c:v>
                </c:pt>
                <c:pt idx="22">
                  <c:v>43903</c:v>
                </c:pt>
                <c:pt idx="23">
                  <c:v>43904</c:v>
                </c:pt>
                <c:pt idx="24">
                  <c:v>43905</c:v>
                </c:pt>
                <c:pt idx="25">
                  <c:v>43906</c:v>
                </c:pt>
                <c:pt idx="26">
                  <c:v>43907</c:v>
                </c:pt>
                <c:pt idx="27">
                  <c:v>43908</c:v>
                </c:pt>
                <c:pt idx="28">
                  <c:v>43909</c:v>
                </c:pt>
                <c:pt idx="29">
                  <c:v>43910</c:v>
                </c:pt>
                <c:pt idx="30">
                  <c:v>43911</c:v>
                </c:pt>
                <c:pt idx="31">
                  <c:v>43912</c:v>
                </c:pt>
                <c:pt idx="32">
                  <c:v>43913</c:v>
                </c:pt>
                <c:pt idx="33">
                  <c:v>43914</c:v>
                </c:pt>
                <c:pt idx="34">
                  <c:v>43915</c:v>
                </c:pt>
                <c:pt idx="35">
                  <c:v>43916</c:v>
                </c:pt>
                <c:pt idx="36">
                  <c:v>43917</c:v>
                </c:pt>
                <c:pt idx="37">
                  <c:v>43918</c:v>
                </c:pt>
                <c:pt idx="38">
                  <c:v>43919</c:v>
                </c:pt>
                <c:pt idx="39">
                  <c:v>43920</c:v>
                </c:pt>
                <c:pt idx="40">
                  <c:v>43921</c:v>
                </c:pt>
                <c:pt idx="41">
                  <c:v>43922</c:v>
                </c:pt>
                <c:pt idx="42">
                  <c:v>43923</c:v>
                </c:pt>
                <c:pt idx="43">
                  <c:v>43924</c:v>
                </c:pt>
                <c:pt idx="44">
                  <c:v>43925</c:v>
                </c:pt>
                <c:pt idx="45">
                  <c:v>43926</c:v>
                </c:pt>
                <c:pt idx="46">
                  <c:v>43927</c:v>
                </c:pt>
                <c:pt idx="47">
                  <c:v>43928</c:v>
                </c:pt>
                <c:pt idx="48">
                  <c:v>43929</c:v>
                </c:pt>
                <c:pt idx="49">
                  <c:v>43930</c:v>
                </c:pt>
                <c:pt idx="50">
                  <c:v>43931</c:v>
                </c:pt>
                <c:pt idx="51">
                  <c:v>43932</c:v>
                </c:pt>
                <c:pt idx="52">
                  <c:v>43933</c:v>
                </c:pt>
                <c:pt idx="53">
                  <c:v>43934</c:v>
                </c:pt>
                <c:pt idx="54">
                  <c:v>43935</c:v>
                </c:pt>
                <c:pt idx="55">
                  <c:v>43936</c:v>
                </c:pt>
                <c:pt idx="56">
                  <c:v>43937</c:v>
                </c:pt>
                <c:pt idx="57">
                  <c:v>43938</c:v>
                </c:pt>
                <c:pt idx="58">
                  <c:v>43939</c:v>
                </c:pt>
                <c:pt idx="59">
                  <c:v>43940</c:v>
                </c:pt>
                <c:pt idx="60">
                  <c:v>43941</c:v>
                </c:pt>
                <c:pt idx="61">
                  <c:v>43942</c:v>
                </c:pt>
                <c:pt idx="62">
                  <c:v>43943</c:v>
                </c:pt>
                <c:pt idx="63">
                  <c:v>43944</c:v>
                </c:pt>
                <c:pt idx="64">
                  <c:v>43945</c:v>
                </c:pt>
                <c:pt idx="65">
                  <c:v>43946</c:v>
                </c:pt>
                <c:pt idx="66">
                  <c:v>43947</c:v>
                </c:pt>
                <c:pt idx="67">
                  <c:v>43948</c:v>
                </c:pt>
                <c:pt idx="68">
                  <c:v>43949</c:v>
                </c:pt>
                <c:pt idx="69">
                  <c:v>43950</c:v>
                </c:pt>
                <c:pt idx="70">
                  <c:v>43951</c:v>
                </c:pt>
              </c:numCache>
            </c:numRef>
          </c:cat>
          <c:val>
            <c:numRef>
              <c:f>'Figura 3 (segue)'!$F$2:$F$72</c:f>
              <c:numCache>
                <c:formatCode>General</c:formatCode>
                <c:ptCount val="71"/>
                <c:pt idx="0">
                  <c:v>94.253351346000002</c:v>
                </c:pt>
                <c:pt idx="1">
                  <c:v>94.403099194999996</c:v>
                </c:pt>
                <c:pt idx="2">
                  <c:v>94.502794976999994</c:v>
                </c:pt>
                <c:pt idx="3">
                  <c:v>94.581280788000001</c:v>
                </c:pt>
                <c:pt idx="4">
                  <c:v>94.832179009000001</c:v>
                </c:pt>
                <c:pt idx="5">
                  <c:v>94.920264118000006</c:v>
                </c:pt>
                <c:pt idx="6">
                  <c:v>95.175551751</c:v>
                </c:pt>
                <c:pt idx="7">
                  <c:v>95.441003256000002</c:v>
                </c:pt>
                <c:pt idx="8">
                  <c:v>95.486703519000002</c:v>
                </c:pt>
                <c:pt idx="9">
                  <c:v>96.734666091999998</c:v>
                </c:pt>
                <c:pt idx="10">
                  <c:v>96.761224033999994</c:v>
                </c:pt>
                <c:pt idx="11">
                  <c:v>97.064195955000002</c:v>
                </c:pt>
                <c:pt idx="12">
                  <c:v>97.340529293000003</c:v>
                </c:pt>
                <c:pt idx="13">
                  <c:v>97.473733663999994</c:v>
                </c:pt>
                <c:pt idx="14">
                  <c:v>97.479115375999996</c:v>
                </c:pt>
                <c:pt idx="15">
                  <c:v>97.886783053000002</c:v>
                </c:pt>
                <c:pt idx="16">
                  <c:v>98.249784809999994</c:v>
                </c:pt>
                <c:pt idx="17">
                  <c:v>98.872629384999996</c:v>
                </c:pt>
                <c:pt idx="18">
                  <c:v>99.325120299999995</c:v>
                </c:pt>
                <c:pt idx="19">
                  <c:v>99.866083736999997</c:v>
                </c:pt>
                <c:pt idx="20">
                  <c:v>100.49333799</c:v>
                </c:pt>
                <c:pt idx="21">
                  <c:v>101.30938231</c:v>
                </c:pt>
                <c:pt idx="22">
                  <c:v>102.20131738000001</c:v>
                </c:pt>
                <c:pt idx="23">
                  <c:v>103.16555103</c:v>
                </c:pt>
                <c:pt idx="24">
                  <c:v>104.27718526</c:v>
                </c:pt>
                <c:pt idx="25">
                  <c:v>105.47531993</c:v>
                </c:pt>
                <c:pt idx="26">
                  <c:v>106.64714812</c:v>
                </c:pt>
                <c:pt idx="27">
                  <c:v>107.86713598999999</c:v>
                </c:pt>
                <c:pt idx="28">
                  <c:v>109.27169877999999</c:v>
                </c:pt>
                <c:pt idx="29">
                  <c:v>110.61173096</c:v>
                </c:pt>
                <c:pt idx="30">
                  <c:v>112.06180572</c:v>
                </c:pt>
                <c:pt idx="31">
                  <c:v>113.59353048</c:v>
                </c:pt>
                <c:pt idx="32">
                  <c:v>114.91067494000001</c:v>
                </c:pt>
                <c:pt idx="33">
                  <c:v>116.30482198999999</c:v>
                </c:pt>
                <c:pt idx="34">
                  <c:v>117.73789164</c:v>
                </c:pt>
                <c:pt idx="35">
                  <c:v>119.37244201999999</c:v>
                </c:pt>
                <c:pt idx="36">
                  <c:v>120.93322266</c:v>
                </c:pt>
                <c:pt idx="37">
                  <c:v>122.28238972</c:v>
                </c:pt>
                <c:pt idx="38">
                  <c:v>123.82077354</c:v>
                </c:pt>
                <c:pt idx="39">
                  <c:v>125.18388459000001</c:v>
                </c:pt>
                <c:pt idx="40">
                  <c:v>126.44146403000001</c:v>
                </c:pt>
                <c:pt idx="41">
                  <c:v>127.54943656</c:v>
                </c:pt>
                <c:pt idx="42">
                  <c:v>128.73418305000001</c:v>
                </c:pt>
                <c:pt idx="43">
                  <c:v>129.75657312999999</c:v>
                </c:pt>
                <c:pt idx="44">
                  <c:v>130.75599559</c:v>
                </c:pt>
                <c:pt idx="45">
                  <c:v>131.58209669999999</c:v>
                </c:pt>
                <c:pt idx="46">
                  <c:v>132.42076850999999</c:v>
                </c:pt>
                <c:pt idx="47">
                  <c:v>133.39017435</c:v>
                </c:pt>
                <c:pt idx="48">
                  <c:v>134.27551541</c:v>
                </c:pt>
                <c:pt idx="49">
                  <c:v>134.74061133000001</c:v>
                </c:pt>
                <c:pt idx="50">
                  <c:v>135.54626540999999</c:v>
                </c:pt>
                <c:pt idx="51">
                  <c:v>136.37332046</c:v>
                </c:pt>
                <c:pt idx="52">
                  <c:v>137.26774571000001</c:v>
                </c:pt>
                <c:pt idx="53">
                  <c:v>138.15486089000001</c:v>
                </c:pt>
                <c:pt idx="54">
                  <c:v>138.76029163000001</c:v>
                </c:pt>
                <c:pt idx="55">
                  <c:v>139.32870210999999</c:v>
                </c:pt>
                <c:pt idx="56">
                  <c:v>139.84930591</c:v>
                </c:pt>
                <c:pt idx="57">
                  <c:v>140.29205782</c:v>
                </c:pt>
                <c:pt idx="58">
                  <c:v>140.55757933999999</c:v>
                </c:pt>
                <c:pt idx="59">
                  <c:v>140.91188087</c:v>
                </c:pt>
                <c:pt idx="60">
                  <c:v>141.15831037000001</c:v>
                </c:pt>
                <c:pt idx="61">
                  <c:v>141.47753437</c:v>
                </c:pt>
                <c:pt idx="62">
                  <c:v>141.57385525000001</c:v>
                </c:pt>
                <c:pt idx="63">
                  <c:v>141.56212742</c:v>
                </c:pt>
                <c:pt idx="64">
                  <c:v>141.78441819</c:v>
                </c:pt>
                <c:pt idx="65">
                  <c:v>142.15266688</c:v>
                </c:pt>
                <c:pt idx="66">
                  <c:v>142.21114451</c:v>
                </c:pt>
                <c:pt idx="67">
                  <c:v>142.31277949</c:v>
                </c:pt>
                <c:pt idx="68">
                  <c:v>142.42458366</c:v>
                </c:pt>
                <c:pt idx="69">
                  <c:v>142.36719478000001</c:v>
                </c:pt>
                <c:pt idx="70">
                  <c:v>142.22946288</c:v>
                </c:pt>
              </c:numCache>
            </c:numRef>
          </c:val>
          <c:smooth val="0"/>
          <c:extLst xmlns:c16r2="http://schemas.microsoft.com/office/drawing/2015/06/chart">
            <c:ext xmlns:c16="http://schemas.microsoft.com/office/drawing/2014/chart" uri="{C3380CC4-5D6E-409C-BE32-E72D297353CC}">
              <c16:uniqueId val="{00000004-BD58-48DB-86C0-502E78770F99}"/>
            </c:ext>
          </c:extLst>
        </c:ser>
        <c:ser>
          <c:idx val="5"/>
          <c:order val="5"/>
          <c:spPr>
            <a:ln w="25400" cap="rnd">
              <a:solidFill>
                <a:schemeClr val="tx1"/>
              </a:solidFill>
              <a:round/>
            </a:ln>
            <a:effectLst/>
          </c:spPr>
          <c:marker>
            <c:symbol val="none"/>
          </c:marker>
          <c:cat>
            <c:numRef>
              <c:f>'Figura 3 (segue)'!$A$2:$A$72</c:f>
              <c:numCache>
                <c:formatCode>d\-mmm</c:formatCode>
                <c:ptCount val="71"/>
                <c:pt idx="0">
                  <c:v>43881</c:v>
                </c:pt>
                <c:pt idx="1">
                  <c:v>43882</c:v>
                </c:pt>
                <c:pt idx="2">
                  <c:v>43883</c:v>
                </c:pt>
                <c:pt idx="3">
                  <c:v>43884</c:v>
                </c:pt>
                <c:pt idx="4">
                  <c:v>43885</c:v>
                </c:pt>
                <c:pt idx="5">
                  <c:v>43886</c:v>
                </c:pt>
                <c:pt idx="6">
                  <c:v>43887</c:v>
                </c:pt>
                <c:pt idx="7">
                  <c:v>43888</c:v>
                </c:pt>
                <c:pt idx="8">
                  <c:v>43889</c:v>
                </c:pt>
                <c:pt idx="9">
                  <c:v>43890</c:v>
                </c:pt>
                <c:pt idx="10">
                  <c:v>43891</c:v>
                </c:pt>
                <c:pt idx="11">
                  <c:v>43892</c:v>
                </c:pt>
                <c:pt idx="12">
                  <c:v>43893</c:v>
                </c:pt>
                <c:pt idx="13">
                  <c:v>43894</c:v>
                </c:pt>
                <c:pt idx="14">
                  <c:v>43895</c:v>
                </c:pt>
                <c:pt idx="15">
                  <c:v>43896</c:v>
                </c:pt>
                <c:pt idx="16">
                  <c:v>43897</c:v>
                </c:pt>
                <c:pt idx="17">
                  <c:v>43898</c:v>
                </c:pt>
                <c:pt idx="18">
                  <c:v>43899</c:v>
                </c:pt>
                <c:pt idx="19">
                  <c:v>43900</c:v>
                </c:pt>
                <c:pt idx="20">
                  <c:v>43901</c:v>
                </c:pt>
                <c:pt idx="21">
                  <c:v>43902</c:v>
                </c:pt>
                <c:pt idx="22">
                  <c:v>43903</c:v>
                </c:pt>
                <c:pt idx="23">
                  <c:v>43904</c:v>
                </c:pt>
                <c:pt idx="24">
                  <c:v>43905</c:v>
                </c:pt>
                <c:pt idx="25">
                  <c:v>43906</c:v>
                </c:pt>
                <c:pt idx="26">
                  <c:v>43907</c:v>
                </c:pt>
                <c:pt idx="27">
                  <c:v>43908</c:v>
                </c:pt>
                <c:pt idx="28">
                  <c:v>43909</c:v>
                </c:pt>
                <c:pt idx="29">
                  <c:v>43910</c:v>
                </c:pt>
                <c:pt idx="30">
                  <c:v>43911</c:v>
                </c:pt>
                <c:pt idx="31">
                  <c:v>43912</c:v>
                </c:pt>
                <c:pt idx="32">
                  <c:v>43913</c:v>
                </c:pt>
                <c:pt idx="33">
                  <c:v>43914</c:v>
                </c:pt>
                <c:pt idx="34">
                  <c:v>43915</c:v>
                </c:pt>
                <c:pt idx="35">
                  <c:v>43916</c:v>
                </c:pt>
                <c:pt idx="36">
                  <c:v>43917</c:v>
                </c:pt>
                <c:pt idx="37">
                  <c:v>43918</c:v>
                </c:pt>
                <c:pt idx="38">
                  <c:v>43919</c:v>
                </c:pt>
                <c:pt idx="39">
                  <c:v>43920</c:v>
                </c:pt>
                <c:pt idx="40">
                  <c:v>43921</c:v>
                </c:pt>
                <c:pt idx="41">
                  <c:v>43922</c:v>
                </c:pt>
                <c:pt idx="42">
                  <c:v>43923</c:v>
                </c:pt>
                <c:pt idx="43">
                  <c:v>43924</c:v>
                </c:pt>
                <c:pt idx="44">
                  <c:v>43925</c:v>
                </c:pt>
                <c:pt idx="45">
                  <c:v>43926</c:v>
                </c:pt>
                <c:pt idx="46">
                  <c:v>43927</c:v>
                </c:pt>
                <c:pt idx="47">
                  <c:v>43928</c:v>
                </c:pt>
                <c:pt idx="48">
                  <c:v>43929</c:v>
                </c:pt>
                <c:pt idx="49">
                  <c:v>43930</c:v>
                </c:pt>
                <c:pt idx="50">
                  <c:v>43931</c:v>
                </c:pt>
                <c:pt idx="51">
                  <c:v>43932</c:v>
                </c:pt>
                <c:pt idx="52">
                  <c:v>43933</c:v>
                </c:pt>
                <c:pt idx="53">
                  <c:v>43934</c:v>
                </c:pt>
                <c:pt idx="54">
                  <c:v>43935</c:v>
                </c:pt>
                <c:pt idx="55">
                  <c:v>43936</c:v>
                </c:pt>
                <c:pt idx="56">
                  <c:v>43937</c:v>
                </c:pt>
                <c:pt idx="57">
                  <c:v>43938</c:v>
                </c:pt>
                <c:pt idx="58">
                  <c:v>43939</c:v>
                </c:pt>
                <c:pt idx="59">
                  <c:v>43940</c:v>
                </c:pt>
                <c:pt idx="60">
                  <c:v>43941</c:v>
                </c:pt>
                <c:pt idx="61">
                  <c:v>43942</c:v>
                </c:pt>
                <c:pt idx="62">
                  <c:v>43943</c:v>
                </c:pt>
                <c:pt idx="63">
                  <c:v>43944</c:v>
                </c:pt>
                <c:pt idx="64">
                  <c:v>43945</c:v>
                </c:pt>
                <c:pt idx="65">
                  <c:v>43946</c:v>
                </c:pt>
                <c:pt idx="66">
                  <c:v>43947</c:v>
                </c:pt>
                <c:pt idx="67">
                  <c:v>43948</c:v>
                </c:pt>
                <c:pt idx="68">
                  <c:v>43949</c:v>
                </c:pt>
                <c:pt idx="69">
                  <c:v>43950</c:v>
                </c:pt>
                <c:pt idx="70">
                  <c:v>43951</c:v>
                </c:pt>
              </c:numCache>
            </c:numRef>
          </c:cat>
          <c:val>
            <c:numRef>
              <c:f>'Figura 3 (segue)'!$G$2:$G$72</c:f>
              <c:numCache>
                <c:formatCode>General</c:formatCode>
                <c:ptCount val="7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numCache>
            </c:numRef>
          </c:val>
          <c:smooth val="0"/>
          <c:extLst xmlns:c16r2="http://schemas.microsoft.com/office/drawing/2015/06/chart">
            <c:ext xmlns:c16="http://schemas.microsoft.com/office/drawing/2014/chart" uri="{C3380CC4-5D6E-409C-BE32-E72D297353CC}">
              <c16:uniqueId val="{00000005-BD58-48DB-86C0-502E78770F99}"/>
            </c:ext>
          </c:extLst>
        </c:ser>
        <c:dLbls>
          <c:showLegendKey val="0"/>
          <c:showVal val="0"/>
          <c:showCatName val="0"/>
          <c:showSerName val="0"/>
          <c:showPercent val="0"/>
          <c:showBubbleSize val="0"/>
        </c:dLbls>
        <c:marker val="1"/>
        <c:smooth val="0"/>
        <c:axId val="210927616"/>
        <c:axId val="210929152"/>
      </c:lineChart>
      <c:dateAx>
        <c:axId val="210927616"/>
        <c:scaling>
          <c:orientation val="minMax"/>
        </c:scaling>
        <c:delete val="0"/>
        <c:axPos val="b"/>
        <c:majorGridlines>
          <c:spPr>
            <a:ln w="9525" cap="flat" cmpd="sng" algn="ctr">
              <a:solidFill>
                <a:schemeClr val="tx1">
                  <a:lumMod val="15000"/>
                  <a:lumOff val="85000"/>
                </a:schemeClr>
              </a:solidFill>
              <a:round/>
            </a:ln>
            <a:effectLst/>
          </c:spPr>
        </c:majorGridlines>
        <c:numFmt formatCode="d\-m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crossAx val="210929152"/>
        <c:crosses val="autoZero"/>
        <c:auto val="1"/>
        <c:lblOffset val="100"/>
        <c:baseTimeUnit val="days"/>
        <c:majorUnit val="3"/>
        <c:majorTimeUnit val="days"/>
      </c:dateAx>
      <c:valAx>
        <c:axId val="210929152"/>
        <c:scaling>
          <c:orientation val="minMax"/>
          <c:max val="160"/>
          <c:min val="8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crossAx val="210927616"/>
        <c:crosses val="autoZero"/>
        <c:crossBetween val="between"/>
      </c:valAx>
      <c:spPr>
        <a:noFill/>
        <a:ln>
          <a:noFill/>
        </a:ln>
        <a:effectLst/>
      </c:spPr>
    </c:plotArea>
    <c:legend>
      <c:legendPos val="t"/>
      <c:legendEntry>
        <c:idx val="5"/>
        <c:delete val="1"/>
      </c:legendEntry>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'Figura 4'!$B$1</c:f>
              <c:strCache>
                <c:ptCount val="1"/>
                <c:pt idx="0">
                  <c:v>50-59</c:v>
                </c:pt>
              </c:strCache>
            </c:strRef>
          </c:tx>
          <c:spPr>
            <a:ln w="25400" cap="rnd">
              <a:solidFill>
                <a:srgbClr val="7030A0"/>
              </a:solidFill>
              <a:round/>
            </a:ln>
            <a:effectLst/>
          </c:spPr>
          <c:marker>
            <c:symbol val="none"/>
          </c:marker>
          <c:cat>
            <c:numRef>
              <c:f>'Figura 4'!$A$2:$A$72</c:f>
              <c:numCache>
                <c:formatCode>d\-mmm</c:formatCode>
                <c:ptCount val="71"/>
                <c:pt idx="0">
                  <c:v>43881</c:v>
                </c:pt>
                <c:pt idx="1">
                  <c:v>43882</c:v>
                </c:pt>
                <c:pt idx="2">
                  <c:v>43883</c:v>
                </c:pt>
                <c:pt idx="3">
                  <c:v>43884</c:v>
                </c:pt>
                <c:pt idx="4">
                  <c:v>43885</c:v>
                </c:pt>
                <c:pt idx="5">
                  <c:v>43886</c:v>
                </c:pt>
                <c:pt idx="6">
                  <c:v>43887</c:v>
                </c:pt>
                <c:pt idx="7">
                  <c:v>43888</c:v>
                </c:pt>
                <c:pt idx="8">
                  <c:v>43889</c:v>
                </c:pt>
                <c:pt idx="9">
                  <c:v>43890</c:v>
                </c:pt>
                <c:pt idx="10">
                  <c:v>43891</c:v>
                </c:pt>
                <c:pt idx="11">
                  <c:v>43892</c:v>
                </c:pt>
                <c:pt idx="12">
                  <c:v>43893</c:v>
                </c:pt>
                <c:pt idx="13">
                  <c:v>43894</c:v>
                </c:pt>
                <c:pt idx="14">
                  <c:v>43895</c:v>
                </c:pt>
                <c:pt idx="15">
                  <c:v>43896</c:v>
                </c:pt>
                <c:pt idx="16">
                  <c:v>43897</c:v>
                </c:pt>
                <c:pt idx="17">
                  <c:v>43898</c:v>
                </c:pt>
                <c:pt idx="18">
                  <c:v>43899</c:v>
                </c:pt>
                <c:pt idx="19">
                  <c:v>43900</c:v>
                </c:pt>
                <c:pt idx="20">
                  <c:v>43901</c:v>
                </c:pt>
                <c:pt idx="21">
                  <c:v>43902</c:v>
                </c:pt>
                <c:pt idx="22">
                  <c:v>43903</c:v>
                </c:pt>
                <c:pt idx="23">
                  <c:v>43904</c:v>
                </c:pt>
                <c:pt idx="24">
                  <c:v>43905</c:v>
                </c:pt>
                <c:pt idx="25">
                  <c:v>43906</c:v>
                </c:pt>
                <c:pt idx="26">
                  <c:v>43907</c:v>
                </c:pt>
                <c:pt idx="27">
                  <c:v>43908</c:v>
                </c:pt>
                <c:pt idx="28">
                  <c:v>43909</c:v>
                </c:pt>
                <c:pt idx="29">
                  <c:v>43910</c:v>
                </c:pt>
                <c:pt idx="30">
                  <c:v>43911</c:v>
                </c:pt>
                <c:pt idx="31">
                  <c:v>43912</c:v>
                </c:pt>
                <c:pt idx="32">
                  <c:v>43913</c:v>
                </c:pt>
                <c:pt idx="33">
                  <c:v>43914</c:v>
                </c:pt>
                <c:pt idx="34">
                  <c:v>43915</c:v>
                </c:pt>
                <c:pt idx="35">
                  <c:v>43916</c:v>
                </c:pt>
                <c:pt idx="36">
                  <c:v>43917</c:v>
                </c:pt>
                <c:pt idx="37">
                  <c:v>43918</c:v>
                </c:pt>
                <c:pt idx="38">
                  <c:v>43919</c:v>
                </c:pt>
                <c:pt idx="39">
                  <c:v>43920</c:v>
                </c:pt>
                <c:pt idx="40">
                  <c:v>43921</c:v>
                </c:pt>
                <c:pt idx="41">
                  <c:v>43922</c:v>
                </c:pt>
                <c:pt idx="42">
                  <c:v>43923</c:v>
                </c:pt>
                <c:pt idx="43">
                  <c:v>43924</c:v>
                </c:pt>
                <c:pt idx="44">
                  <c:v>43925</c:v>
                </c:pt>
                <c:pt idx="45">
                  <c:v>43926</c:v>
                </c:pt>
                <c:pt idx="46">
                  <c:v>43927</c:v>
                </c:pt>
                <c:pt idx="47">
                  <c:v>43928</c:v>
                </c:pt>
                <c:pt idx="48">
                  <c:v>43929</c:v>
                </c:pt>
                <c:pt idx="49">
                  <c:v>43930</c:v>
                </c:pt>
                <c:pt idx="50">
                  <c:v>43931</c:v>
                </c:pt>
                <c:pt idx="51">
                  <c:v>43932</c:v>
                </c:pt>
                <c:pt idx="52">
                  <c:v>43933</c:v>
                </c:pt>
                <c:pt idx="53">
                  <c:v>43934</c:v>
                </c:pt>
                <c:pt idx="54">
                  <c:v>43935</c:v>
                </c:pt>
                <c:pt idx="55">
                  <c:v>43936</c:v>
                </c:pt>
                <c:pt idx="56">
                  <c:v>43937</c:v>
                </c:pt>
                <c:pt idx="57">
                  <c:v>43938</c:v>
                </c:pt>
                <c:pt idx="58">
                  <c:v>43939</c:v>
                </c:pt>
                <c:pt idx="59">
                  <c:v>43940</c:v>
                </c:pt>
                <c:pt idx="60">
                  <c:v>43941</c:v>
                </c:pt>
                <c:pt idx="61">
                  <c:v>43942</c:v>
                </c:pt>
                <c:pt idx="62">
                  <c:v>43943</c:v>
                </c:pt>
                <c:pt idx="63">
                  <c:v>43944</c:v>
                </c:pt>
                <c:pt idx="64">
                  <c:v>43945</c:v>
                </c:pt>
                <c:pt idx="65">
                  <c:v>43946</c:v>
                </c:pt>
                <c:pt idx="66">
                  <c:v>43947</c:v>
                </c:pt>
                <c:pt idx="67">
                  <c:v>43948</c:v>
                </c:pt>
                <c:pt idx="68">
                  <c:v>43949</c:v>
                </c:pt>
                <c:pt idx="69">
                  <c:v>43950</c:v>
                </c:pt>
                <c:pt idx="70">
                  <c:v>43951</c:v>
                </c:pt>
              </c:numCache>
            </c:numRef>
          </c:cat>
          <c:val>
            <c:numRef>
              <c:f>'Figura 4'!$B$2:$B$72</c:f>
              <c:numCache>
                <c:formatCode>General</c:formatCode>
                <c:ptCount val="71"/>
                <c:pt idx="0">
                  <c:v>94.376679760000002</c:v>
                </c:pt>
                <c:pt idx="1">
                  <c:v>94.589096827000006</c:v>
                </c:pt>
                <c:pt idx="2">
                  <c:v>94.369865758000003</c:v>
                </c:pt>
                <c:pt idx="3">
                  <c:v>94.194312796000006</c:v>
                </c:pt>
                <c:pt idx="4">
                  <c:v>93.822618125000005</c:v>
                </c:pt>
                <c:pt idx="5">
                  <c:v>93.791532181999997</c:v>
                </c:pt>
                <c:pt idx="6">
                  <c:v>93.826005613000007</c:v>
                </c:pt>
                <c:pt idx="7">
                  <c:v>94.222960502000006</c:v>
                </c:pt>
                <c:pt idx="8">
                  <c:v>94.887190684000004</c:v>
                </c:pt>
                <c:pt idx="9">
                  <c:v>95.484221980000001</c:v>
                </c:pt>
                <c:pt idx="10">
                  <c:v>94.881398251999997</c:v>
                </c:pt>
                <c:pt idx="11">
                  <c:v>94.589847180999996</c:v>
                </c:pt>
                <c:pt idx="12">
                  <c:v>94.765031098999998</c:v>
                </c:pt>
                <c:pt idx="13">
                  <c:v>94.921608724999999</c:v>
                </c:pt>
                <c:pt idx="14">
                  <c:v>95.046179680999998</c:v>
                </c:pt>
                <c:pt idx="15">
                  <c:v>95.167163191</c:v>
                </c:pt>
                <c:pt idx="16">
                  <c:v>94.880991197</c:v>
                </c:pt>
                <c:pt idx="17">
                  <c:v>95.310743536000004</c:v>
                </c:pt>
                <c:pt idx="18">
                  <c:v>95.404120444</c:v>
                </c:pt>
                <c:pt idx="19">
                  <c:v>95.543393276000003</c:v>
                </c:pt>
                <c:pt idx="20">
                  <c:v>95.462262695000007</c:v>
                </c:pt>
                <c:pt idx="21">
                  <c:v>96.066221142000003</c:v>
                </c:pt>
                <c:pt idx="22">
                  <c:v>96.295185240999999</c:v>
                </c:pt>
                <c:pt idx="23">
                  <c:v>96.350689809000002</c:v>
                </c:pt>
                <c:pt idx="24">
                  <c:v>96.314172882999998</c:v>
                </c:pt>
                <c:pt idx="25">
                  <c:v>96.298438403999995</c:v>
                </c:pt>
                <c:pt idx="26">
                  <c:v>96.393301846</c:v>
                </c:pt>
                <c:pt idx="27">
                  <c:v>96.591712629</c:v>
                </c:pt>
                <c:pt idx="28">
                  <c:v>96.156533891999999</c:v>
                </c:pt>
                <c:pt idx="29">
                  <c:v>96.244131455000002</c:v>
                </c:pt>
                <c:pt idx="30">
                  <c:v>96.807204256999995</c:v>
                </c:pt>
                <c:pt idx="31">
                  <c:v>97.773279352000003</c:v>
                </c:pt>
                <c:pt idx="32">
                  <c:v>97.549607137999999</c:v>
                </c:pt>
                <c:pt idx="33">
                  <c:v>98.169607584999994</c:v>
                </c:pt>
                <c:pt idx="34">
                  <c:v>98.813713988000003</c:v>
                </c:pt>
                <c:pt idx="35">
                  <c:v>99.418979987</c:v>
                </c:pt>
                <c:pt idx="36">
                  <c:v>99.450338744999996</c:v>
                </c:pt>
                <c:pt idx="37">
                  <c:v>99.696164070999998</c:v>
                </c:pt>
                <c:pt idx="38">
                  <c:v>100.30015007999999</c:v>
                </c:pt>
                <c:pt idx="39">
                  <c:v>100.21018793</c:v>
                </c:pt>
                <c:pt idx="40">
                  <c:v>100.30599755</c:v>
                </c:pt>
                <c:pt idx="41">
                  <c:v>100.59458804</c:v>
                </c:pt>
                <c:pt idx="42">
                  <c:v>100.52814788000001</c:v>
                </c:pt>
                <c:pt idx="43">
                  <c:v>101.04612458</c:v>
                </c:pt>
                <c:pt idx="44">
                  <c:v>101.47991543000001</c:v>
                </c:pt>
                <c:pt idx="45">
                  <c:v>101.80337405</c:v>
                </c:pt>
                <c:pt idx="46">
                  <c:v>101.74953959</c:v>
                </c:pt>
                <c:pt idx="47">
                  <c:v>101.69878007</c:v>
                </c:pt>
                <c:pt idx="48">
                  <c:v>101.55721056</c:v>
                </c:pt>
                <c:pt idx="49">
                  <c:v>101.74321153</c:v>
                </c:pt>
                <c:pt idx="50">
                  <c:v>101.63680601999999</c:v>
                </c:pt>
                <c:pt idx="51">
                  <c:v>102.25778167</c:v>
                </c:pt>
                <c:pt idx="52">
                  <c:v>102.13066637999999</c:v>
                </c:pt>
                <c:pt idx="53">
                  <c:v>102.46034315</c:v>
                </c:pt>
                <c:pt idx="54">
                  <c:v>102.82171868</c:v>
                </c:pt>
                <c:pt idx="55">
                  <c:v>103.165361</c:v>
                </c:pt>
                <c:pt idx="56">
                  <c:v>103.00293994</c:v>
                </c:pt>
                <c:pt idx="57">
                  <c:v>102.5907814</c:v>
                </c:pt>
                <c:pt idx="58">
                  <c:v>102.6236959</c:v>
                </c:pt>
                <c:pt idx="59">
                  <c:v>102.52866503</c:v>
                </c:pt>
                <c:pt idx="60">
                  <c:v>102.59014728</c:v>
                </c:pt>
                <c:pt idx="61">
                  <c:v>102.30243314000001</c:v>
                </c:pt>
                <c:pt idx="62">
                  <c:v>102.37240829</c:v>
                </c:pt>
                <c:pt idx="63">
                  <c:v>102.27497527</c:v>
                </c:pt>
                <c:pt idx="64">
                  <c:v>102.49117301</c:v>
                </c:pt>
                <c:pt idx="65">
                  <c:v>102.53915751</c:v>
                </c:pt>
                <c:pt idx="66">
                  <c:v>102.52822542</c:v>
                </c:pt>
                <c:pt idx="67">
                  <c:v>102.58496888000001</c:v>
                </c:pt>
                <c:pt idx="68">
                  <c:v>102.71501804</c:v>
                </c:pt>
                <c:pt idx="69">
                  <c:v>102.50258726</c:v>
                </c:pt>
                <c:pt idx="70">
                  <c:v>102.36514911</c:v>
                </c:pt>
              </c:numCache>
            </c:numRef>
          </c:val>
          <c:smooth val="0"/>
          <c:extLst xmlns:c16r2="http://schemas.microsoft.com/office/drawing/2015/06/chart">
            <c:ext xmlns:c16="http://schemas.microsoft.com/office/drawing/2014/chart" uri="{C3380CC4-5D6E-409C-BE32-E72D297353CC}">
              <c16:uniqueId val="{00000000-C450-4FF0-83A1-C238A8A97814}"/>
            </c:ext>
          </c:extLst>
        </c:ser>
        <c:ser>
          <c:idx val="1"/>
          <c:order val="1"/>
          <c:tx>
            <c:strRef>
              <c:f>'Figura 4'!$C$1</c:f>
              <c:strCache>
                <c:ptCount val="1"/>
                <c:pt idx="0">
                  <c:v>60-69</c:v>
                </c:pt>
              </c:strCache>
            </c:strRef>
          </c:tx>
          <c:spPr>
            <a:ln w="25400" cap="rnd">
              <a:solidFill>
                <a:srgbClr val="FFC000"/>
              </a:solidFill>
              <a:round/>
            </a:ln>
            <a:effectLst/>
          </c:spPr>
          <c:marker>
            <c:symbol val="none"/>
          </c:marker>
          <c:cat>
            <c:numRef>
              <c:f>'Figura 4'!$A$2:$A$72</c:f>
              <c:numCache>
                <c:formatCode>d\-mmm</c:formatCode>
                <c:ptCount val="71"/>
                <c:pt idx="0">
                  <c:v>43881</c:v>
                </c:pt>
                <c:pt idx="1">
                  <c:v>43882</c:v>
                </c:pt>
                <c:pt idx="2">
                  <c:v>43883</c:v>
                </c:pt>
                <c:pt idx="3">
                  <c:v>43884</c:v>
                </c:pt>
                <c:pt idx="4">
                  <c:v>43885</c:v>
                </c:pt>
                <c:pt idx="5">
                  <c:v>43886</c:v>
                </c:pt>
                <c:pt idx="6">
                  <c:v>43887</c:v>
                </c:pt>
                <c:pt idx="7">
                  <c:v>43888</c:v>
                </c:pt>
                <c:pt idx="8">
                  <c:v>43889</c:v>
                </c:pt>
                <c:pt idx="9">
                  <c:v>43890</c:v>
                </c:pt>
                <c:pt idx="10">
                  <c:v>43891</c:v>
                </c:pt>
                <c:pt idx="11">
                  <c:v>43892</c:v>
                </c:pt>
                <c:pt idx="12">
                  <c:v>43893</c:v>
                </c:pt>
                <c:pt idx="13">
                  <c:v>43894</c:v>
                </c:pt>
                <c:pt idx="14">
                  <c:v>43895</c:v>
                </c:pt>
                <c:pt idx="15">
                  <c:v>43896</c:v>
                </c:pt>
                <c:pt idx="16">
                  <c:v>43897</c:v>
                </c:pt>
                <c:pt idx="17">
                  <c:v>43898</c:v>
                </c:pt>
                <c:pt idx="18">
                  <c:v>43899</c:v>
                </c:pt>
                <c:pt idx="19">
                  <c:v>43900</c:v>
                </c:pt>
                <c:pt idx="20">
                  <c:v>43901</c:v>
                </c:pt>
                <c:pt idx="21">
                  <c:v>43902</c:v>
                </c:pt>
                <c:pt idx="22">
                  <c:v>43903</c:v>
                </c:pt>
                <c:pt idx="23">
                  <c:v>43904</c:v>
                </c:pt>
                <c:pt idx="24">
                  <c:v>43905</c:v>
                </c:pt>
                <c:pt idx="25">
                  <c:v>43906</c:v>
                </c:pt>
                <c:pt idx="26">
                  <c:v>43907</c:v>
                </c:pt>
                <c:pt idx="27">
                  <c:v>43908</c:v>
                </c:pt>
                <c:pt idx="28">
                  <c:v>43909</c:v>
                </c:pt>
                <c:pt idx="29">
                  <c:v>43910</c:v>
                </c:pt>
                <c:pt idx="30">
                  <c:v>43911</c:v>
                </c:pt>
                <c:pt idx="31">
                  <c:v>43912</c:v>
                </c:pt>
                <c:pt idx="32">
                  <c:v>43913</c:v>
                </c:pt>
                <c:pt idx="33">
                  <c:v>43914</c:v>
                </c:pt>
                <c:pt idx="34">
                  <c:v>43915</c:v>
                </c:pt>
                <c:pt idx="35">
                  <c:v>43916</c:v>
                </c:pt>
                <c:pt idx="36">
                  <c:v>43917</c:v>
                </c:pt>
                <c:pt idx="37">
                  <c:v>43918</c:v>
                </c:pt>
                <c:pt idx="38">
                  <c:v>43919</c:v>
                </c:pt>
                <c:pt idx="39">
                  <c:v>43920</c:v>
                </c:pt>
                <c:pt idx="40">
                  <c:v>43921</c:v>
                </c:pt>
                <c:pt idx="41">
                  <c:v>43922</c:v>
                </c:pt>
                <c:pt idx="42">
                  <c:v>43923</c:v>
                </c:pt>
                <c:pt idx="43">
                  <c:v>43924</c:v>
                </c:pt>
                <c:pt idx="44">
                  <c:v>43925</c:v>
                </c:pt>
                <c:pt idx="45">
                  <c:v>43926</c:v>
                </c:pt>
                <c:pt idx="46">
                  <c:v>43927</c:v>
                </c:pt>
                <c:pt idx="47">
                  <c:v>43928</c:v>
                </c:pt>
                <c:pt idx="48">
                  <c:v>43929</c:v>
                </c:pt>
                <c:pt idx="49">
                  <c:v>43930</c:v>
                </c:pt>
                <c:pt idx="50">
                  <c:v>43931</c:v>
                </c:pt>
                <c:pt idx="51">
                  <c:v>43932</c:v>
                </c:pt>
                <c:pt idx="52">
                  <c:v>43933</c:v>
                </c:pt>
                <c:pt idx="53">
                  <c:v>43934</c:v>
                </c:pt>
                <c:pt idx="54">
                  <c:v>43935</c:v>
                </c:pt>
                <c:pt idx="55">
                  <c:v>43936</c:v>
                </c:pt>
                <c:pt idx="56">
                  <c:v>43937</c:v>
                </c:pt>
                <c:pt idx="57">
                  <c:v>43938</c:v>
                </c:pt>
                <c:pt idx="58">
                  <c:v>43939</c:v>
                </c:pt>
                <c:pt idx="59">
                  <c:v>43940</c:v>
                </c:pt>
                <c:pt idx="60">
                  <c:v>43941</c:v>
                </c:pt>
                <c:pt idx="61">
                  <c:v>43942</c:v>
                </c:pt>
                <c:pt idx="62">
                  <c:v>43943</c:v>
                </c:pt>
                <c:pt idx="63">
                  <c:v>43944</c:v>
                </c:pt>
                <c:pt idx="64">
                  <c:v>43945</c:v>
                </c:pt>
                <c:pt idx="65">
                  <c:v>43946</c:v>
                </c:pt>
                <c:pt idx="66">
                  <c:v>43947</c:v>
                </c:pt>
                <c:pt idx="67">
                  <c:v>43948</c:v>
                </c:pt>
                <c:pt idx="68">
                  <c:v>43949</c:v>
                </c:pt>
                <c:pt idx="69">
                  <c:v>43950</c:v>
                </c:pt>
                <c:pt idx="70">
                  <c:v>43951</c:v>
                </c:pt>
              </c:numCache>
            </c:numRef>
          </c:cat>
          <c:val>
            <c:numRef>
              <c:f>'Figura 4'!$C$2:$C$72</c:f>
              <c:numCache>
                <c:formatCode>General</c:formatCode>
                <c:ptCount val="71"/>
                <c:pt idx="0">
                  <c:v>89.357047746000006</c:v>
                </c:pt>
                <c:pt idx="1">
                  <c:v>89.751988768999993</c:v>
                </c:pt>
                <c:pt idx="2">
                  <c:v>89.441335656999996</c:v>
                </c:pt>
                <c:pt idx="3">
                  <c:v>88.859893818000003</c:v>
                </c:pt>
                <c:pt idx="4">
                  <c:v>88.644007789</c:v>
                </c:pt>
                <c:pt idx="5">
                  <c:v>88.629053290000002</c:v>
                </c:pt>
                <c:pt idx="6">
                  <c:v>88.924023587999997</c:v>
                </c:pt>
                <c:pt idx="7">
                  <c:v>88.457344183000004</c:v>
                </c:pt>
                <c:pt idx="8">
                  <c:v>88.235294117999999</c:v>
                </c:pt>
                <c:pt idx="9">
                  <c:v>89.024790675000006</c:v>
                </c:pt>
                <c:pt idx="10">
                  <c:v>89.015611097999994</c:v>
                </c:pt>
                <c:pt idx="11">
                  <c:v>89.445153060999999</c:v>
                </c:pt>
                <c:pt idx="12">
                  <c:v>89.458375914000001</c:v>
                </c:pt>
                <c:pt idx="13">
                  <c:v>89.500193722999995</c:v>
                </c:pt>
                <c:pt idx="14">
                  <c:v>90.126950137999998</c:v>
                </c:pt>
                <c:pt idx="15">
                  <c:v>90.275685447000001</c:v>
                </c:pt>
                <c:pt idx="16">
                  <c:v>90.344878846</c:v>
                </c:pt>
                <c:pt idx="17">
                  <c:v>90.642632079999998</c:v>
                </c:pt>
                <c:pt idx="18">
                  <c:v>90.744757773000003</c:v>
                </c:pt>
                <c:pt idx="19">
                  <c:v>90.763195435</c:v>
                </c:pt>
                <c:pt idx="20">
                  <c:v>90.963473855000004</c:v>
                </c:pt>
                <c:pt idx="21">
                  <c:v>91.123931326999994</c:v>
                </c:pt>
                <c:pt idx="22">
                  <c:v>91.716382089000007</c:v>
                </c:pt>
                <c:pt idx="23">
                  <c:v>91.598915989000005</c:v>
                </c:pt>
                <c:pt idx="24">
                  <c:v>91.758168183999999</c:v>
                </c:pt>
                <c:pt idx="25">
                  <c:v>91.690354994000003</c:v>
                </c:pt>
                <c:pt idx="26">
                  <c:v>91.736831799000001</c:v>
                </c:pt>
                <c:pt idx="27">
                  <c:v>91.955876661000005</c:v>
                </c:pt>
                <c:pt idx="28">
                  <c:v>92.700217140999996</c:v>
                </c:pt>
                <c:pt idx="29">
                  <c:v>93.041611415999995</c:v>
                </c:pt>
                <c:pt idx="30">
                  <c:v>92.821473159000007</c:v>
                </c:pt>
                <c:pt idx="31">
                  <c:v>93.199925884999999</c:v>
                </c:pt>
                <c:pt idx="32">
                  <c:v>93.471357029000004</c:v>
                </c:pt>
                <c:pt idx="33">
                  <c:v>93.672643844999996</c:v>
                </c:pt>
                <c:pt idx="34">
                  <c:v>93.871102367000006</c:v>
                </c:pt>
                <c:pt idx="35">
                  <c:v>93.895606016000002</c:v>
                </c:pt>
                <c:pt idx="36">
                  <c:v>94.183875860000001</c:v>
                </c:pt>
                <c:pt idx="37">
                  <c:v>94.596932303000003</c:v>
                </c:pt>
                <c:pt idx="38">
                  <c:v>94.822172746000007</c:v>
                </c:pt>
                <c:pt idx="39">
                  <c:v>95.035020333999995</c:v>
                </c:pt>
                <c:pt idx="40">
                  <c:v>95.063729875000007</c:v>
                </c:pt>
                <c:pt idx="41">
                  <c:v>95.424076228000004</c:v>
                </c:pt>
                <c:pt idx="42">
                  <c:v>95.621360289999998</c:v>
                </c:pt>
                <c:pt idx="43">
                  <c:v>96.147567744</c:v>
                </c:pt>
                <c:pt idx="44">
                  <c:v>96.088572814000003</c:v>
                </c:pt>
                <c:pt idx="45">
                  <c:v>95.960943336</c:v>
                </c:pt>
                <c:pt idx="46">
                  <c:v>96.213761418999994</c:v>
                </c:pt>
                <c:pt idx="47">
                  <c:v>96.436607190000004</c:v>
                </c:pt>
                <c:pt idx="48">
                  <c:v>96.601815823999999</c:v>
                </c:pt>
                <c:pt idx="49">
                  <c:v>96.988849493999993</c:v>
                </c:pt>
                <c:pt idx="50">
                  <c:v>97.143729953000005</c:v>
                </c:pt>
                <c:pt idx="51">
                  <c:v>97.331517352999995</c:v>
                </c:pt>
                <c:pt idx="52">
                  <c:v>97.765223477999996</c:v>
                </c:pt>
                <c:pt idx="53">
                  <c:v>97.714540677000002</c:v>
                </c:pt>
                <c:pt idx="54">
                  <c:v>97.594569333999999</c:v>
                </c:pt>
                <c:pt idx="55">
                  <c:v>97.727494391999997</c:v>
                </c:pt>
                <c:pt idx="56">
                  <c:v>97.731450131000003</c:v>
                </c:pt>
                <c:pt idx="57">
                  <c:v>97.990311285999994</c:v>
                </c:pt>
                <c:pt idx="58">
                  <c:v>98.149293495999999</c:v>
                </c:pt>
                <c:pt idx="59">
                  <c:v>98.161538824999994</c:v>
                </c:pt>
                <c:pt idx="60">
                  <c:v>98.195453479999998</c:v>
                </c:pt>
                <c:pt idx="61">
                  <c:v>98.234610918000001</c:v>
                </c:pt>
                <c:pt idx="62">
                  <c:v>98.171096880999997</c:v>
                </c:pt>
                <c:pt idx="63">
                  <c:v>98.282006761999995</c:v>
                </c:pt>
                <c:pt idx="64">
                  <c:v>97.971749365999997</c:v>
                </c:pt>
                <c:pt idx="65">
                  <c:v>97.943942051999997</c:v>
                </c:pt>
                <c:pt idx="66">
                  <c:v>98.181168163999999</c:v>
                </c:pt>
                <c:pt idx="67">
                  <c:v>98.010545437999994</c:v>
                </c:pt>
                <c:pt idx="68">
                  <c:v>98.213892921999999</c:v>
                </c:pt>
                <c:pt idx="69">
                  <c:v>98.205318544999997</c:v>
                </c:pt>
                <c:pt idx="70">
                  <c:v>98.316921875999995</c:v>
                </c:pt>
              </c:numCache>
            </c:numRef>
          </c:val>
          <c:smooth val="0"/>
          <c:extLst xmlns:c16r2="http://schemas.microsoft.com/office/drawing/2015/06/chart">
            <c:ext xmlns:c16="http://schemas.microsoft.com/office/drawing/2014/chart" uri="{C3380CC4-5D6E-409C-BE32-E72D297353CC}">
              <c16:uniqueId val="{00000001-C450-4FF0-83A1-C238A8A97814}"/>
            </c:ext>
          </c:extLst>
        </c:ser>
        <c:ser>
          <c:idx val="2"/>
          <c:order val="2"/>
          <c:tx>
            <c:strRef>
              <c:f>'Figura 4'!$D$1</c:f>
              <c:strCache>
                <c:ptCount val="1"/>
                <c:pt idx="0">
                  <c:v>70-79</c:v>
                </c:pt>
              </c:strCache>
            </c:strRef>
          </c:tx>
          <c:spPr>
            <a:ln w="25400" cap="rnd">
              <a:solidFill>
                <a:srgbClr val="00B0F0"/>
              </a:solidFill>
              <a:round/>
            </a:ln>
            <a:effectLst/>
          </c:spPr>
          <c:marker>
            <c:symbol val="none"/>
          </c:marker>
          <c:cat>
            <c:numRef>
              <c:f>'Figura 4'!$A$2:$A$72</c:f>
              <c:numCache>
                <c:formatCode>d\-mmm</c:formatCode>
                <c:ptCount val="71"/>
                <c:pt idx="0">
                  <c:v>43881</c:v>
                </c:pt>
                <c:pt idx="1">
                  <c:v>43882</c:v>
                </c:pt>
                <c:pt idx="2">
                  <c:v>43883</c:v>
                </c:pt>
                <c:pt idx="3">
                  <c:v>43884</c:v>
                </c:pt>
                <c:pt idx="4">
                  <c:v>43885</c:v>
                </c:pt>
                <c:pt idx="5">
                  <c:v>43886</c:v>
                </c:pt>
                <c:pt idx="6">
                  <c:v>43887</c:v>
                </c:pt>
                <c:pt idx="7">
                  <c:v>43888</c:v>
                </c:pt>
                <c:pt idx="8">
                  <c:v>43889</c:v>
                </c:pt>
                <c:pt idx="9">
                  <c:v>43890</c:v>
                </c:pt>
                <c:pt idx="10">
                  <c:v>43891</c:v>
                </c:pt>
                <c:pt idx="11">
                  <c:v>43892</c:v>
                </c:pt>
                <c:pt idx="12">
                  <c:v>43893</c:v>
                </c:pt>
                <c:pt idx="13">
                  <c:v>43894</c:v>
                </c:pt>
                <c:pt idx="14">
                  <c:v>43895</c:v>
                </c:pt>
                <c:pt idx="15">
                  <c:v>43896</c:v>
                </c:pt>
                <c:pt idx="16">
                  <c:v>43897</c:v>
                </c:pt>
                <c:pt idx="17">
                  <c:v>43898</c:v>
                </c:pt>
                <c:pt idx="18">
                  <c:v>43899</c:v>
                </c:pt>
                <c:pt idx="19">
                  <c:v>43900</c:v>
                </c:pt>
                <c:pt idx="20">
                  <c:v>43901</c:v>
                </c:pt>
                <c:pt idx="21">
                  <c:v>43902</c:v>
                </c:pt>
                <c:pt idx="22">
                  <c:v>43903</c:v>
                </c:pt>
                <c:pt idx="23">
                  <c:v>43904</c:v>
                </c:pt>
                <c:pt idx="24">
                  <c:v>43905</c:v>
                </c:pt>
                <c:pt idx="25">
                  <c:v>43906</c:v>
                </c:pt>
                <c:pt idx="26">
                  <c:v>43907</c:v>
                </c:pt>
                <c:pt idx="27">
                  <c:v>43908</c:v>
                </c:pt>
                <c:pt idx="28">
                  <c:v>43909</c:v>
                </c:pt>
                <c:pt idx="29">
                  <c:v>43910</c:v>
                </c:pt>
                <c:pt idx="30">
                  <c:v>43911</c:v>
                </c:pt>
                <c:pt idx="31">
                  <c:v>43912</c:v>
                </c:pt>
                <c:pt idx="32">
                  <c:v>43913</c:v>
                </c:pt>
                <c:pt idx="33">
                  <c:v>43914</c:v>
                </c:pt>
                <c:pt idx="34">
                  <c:v>43915</c:v>
                </c:pt>
                <c:pt idx="35">
                  <c:v>43916</c:v>
                </c:pt>
                <c:pt idx="36">
                  <c:v>43917</c:v>
                </c:pt>
                <c:pt idx="37">
                  <c:v>43918</c:v>
                </c:pt>
                <c:pt idx="38">
                  <c:v>43919</c:v>
                </c:pt>
                <c:pt idx="39">
                  <c:v>43920</c:v>
                </c:pt>
                <c:pt idx="40">
                  <c:v>43921</c:v>
                </c:pt>
                <c:pt idx="41">
                  <c:v>43922</c:v>
                </c:pt>
                <c:pt idx="42">
                  <c:v>43923</c:v>
                </c:pt>
                <c:pt idx="43">
                  <c:v>43924</c:v>
                </c:pt>
                <c:pt idx="44">
                  <c:v>43925</c:v>
                </c:pt>
                <c:pt idx="45">
                  <c:v>43926</c:v>
                </c:pt>
                <c:pt idx="46">
                  <c:v>43927</c:v>
                </c:pt>
                <c:pt idx="47">
                  <c:v>43928</c:v>
                </c:pt>
                <c:pt idx="48">
                  <c:v>43929</c:v>
                </c:pt>
                <c:pt idx="49">
                  <c:v>43930</c:v>
                </c:pt>
                <c:pt idx="50">
                  <c:v>43931</c:v>
                </c:pt>
                <c:pt idx="51">
                  <c:v>43932</c:v>
                </c:pt>
                <c:pt idx="52">
                  <c:v>43933</c:v>
                </c:pt>
                <c:pt idx="53">
                  <c:v>43934</c:v>
                </c:pt>
                <c:pt idx="54">
                  <c:v>43935</c:v>
                </c:pt>
                <c:pt idx="55">
                  <c:v>43936</c:v>
                </c:pt>
                <c:pt idx="56">
                  <c:v>43937</c:v>
                </c:pt>
                <c:pt idx="57">
                  <c:v>43938</c:v>
                </c:pt>
                <c:pt idx="58">
                  <c:v>43939</c:v>
                </c:pt>
                <c:pt idx="59">
                  <c:v>43940</c:v>
                </c:pt>
                <c:pt idx="60">
                  <c:v>43941</c:v>
                </c:pt>
                <c:pt idx="61">
                  <c:v>43942</c:v>
                </c:pt>
                <c:pt idx="62">
                  <c:v>43943</c:v>
                </c:pt>
                <c:pt idx="63">
                  <c:v>43944</c:v>
                </c:pt>
                <c:pt idx="64">
                  <c:v>43945</c:v>
                </c:pt>
                <c:pt idx="65">
                  <c:v>43946</c:v>
                </c:pt>
                <c:pt idx="66">
                  <c:v>43947</c:v>
                </c:pt>
                <c:pt idx="67">
                  <c:v>43948</c:v>
                </c:pt>
                <c:pt idx="68">
                  <c:v>43949</c:v>
                </c:pt>
                <c:pt idx="69">
                  <c:v>43950</c:v>
                </c:pt>
                <c:pt idx="70">
                  <c:v>43951</c:v>
                </c:pt>
              </c:numCache>
            </c:numRef>
          </c:cat>
          <c:val>
            <c:numRef>
              <c:f>'Figura 4'!$D$2:$D$72</c:f>
              <c:numCache>
                <c:formatCode>General</c:formatCode>
                <c:ptCount val="71"/>
                <c:pt idx="0">
                  <c:v>89.436353715999999</c:v>
                </c:pt>
                <c:pt idx="1">
                  <c:v>89.545473275999996</c:v>
                </c:pt>
                <c:pt idx="2">
                  <c:v>89.359462304999994</c:v>
                </c:pt>
                <c:pt idx="3">
                  <c:v>89.364492666999993</c:v>
                </c:pt>
                <c:pt idx="4">
                  <c:v>89.654363466000007</c:v>
                </c:pt>
                <c:pt idx="5">
                  <c:v>89.840599193000003</c:v>
                </c:pt>
                <c:pt idx="6">
                  <c:v>89.988666414999997</c:v>
                </c:pt>
                <c:pt idx="7">
                  <c:v>89.655556379999993</c:v>
                </c:pt>
                <c:pt idx="8">
                  <c:v>89.707546824999994</c:v>
                </c:pt>
                <c:pt idx="9">
                  <c:v>90.859451785999994</c:v>
                </c:pt>
                <c:pt idx="10">
                  <c:v>90.765588003000005</c:v>
                </c:pt>
                <c:pt idx="11">
                  <c:v>90.913898879000001</c:v>
                </c:pt>
                <c:pt idx="12">
                  <c:v>91.006981832999998</c:v>
                </c:pt>
                <c:pt idx="13">
                  <c:v>90.753483277000001</c:v>
                </c:pt>
                <c:pt idx="14">
                  <c:v>90.948959282000004</c:v>
                </c:pt>
                <c:pt idx="15">
                  <c:v>90.918153723000003</c:v>
                </c:pt>
                <c:pt idx="16">
                  <c:v>91.086287100000007</c:v>
                </c:pt>
                <c:pt idx="17">
                  <c:v>91.284966729000004</c:v>
                </c:pt>
                <c:pt idx="18">
                  <c:v>91.410182883999994</c:v>
                </c:pt>
                <c:pt idx="19">
                  <c:v>91.631022770000001</c:v>
                </c:pt>
                <c:pt idx="20">
                  <c:v>91.747105744999999</c:v>
                </c:pt>
                <c:pt idx="21">
                  <c:v>91.651126532000006</c:v>
                </c:pt>
                <c:pt idx="22">
                  <c:v>92.023428537000001</c:v>
                </c:pt>
                <c:pt idx="23">
                  <c:v>92.222884386000004</c:v>
                </c:pt>
                <c:pt idx="24">
                  <c:v>92.563687232999996</c:v>
                </c:pt>
                <c:pt idx="25">
                  <c:v>92.575365563000005</c:v>
                </c:pt>
                <c:pt idx="26">
                  <c:v>93.142610696000006</c:v>
                </c:pt>
                <c:pt idx="27">
                  <c:v>93.344501546999993</c:v>
                </c:pt>
                <c:pt idx="28">
                  <c:v>93.605320015000004</c:v>
                </c:pt>
                <c:pt idx="29">
                  <c:v>94.208729915999996</c:v>
                </c:pt>
                <c:pt idx="30">
                  <c:v>94.705801672999996</c:v>
                </c:pt>
                <c:pt idx="31">
                  <c:v>94.948042434000001</c:v>
                </c:pt>
                <c:pt idx="32">
                  <c:v>95.631783464999998</c:v>
                </c:pt>
                <c:pt idx="33">
                  <c:v>96.173225841000004</c:v>
                </c:pt>
                <c:pt idx="34">
                  <c:v>96.662906315000001</c:v>
                </c:pt>
                <c:pt idx="35">
                  <c:v>96.869163727</c:v>
                </c:pt>
                <c:pt idx="36">
                  <c:v>97.479595502999999</c:v>
                </c:pt>
                <c:pt idx="37">
                  <c:v>98.036223035999996</c:v>
                </c:pt>
                <c:pt idx="38">
                  <c:v>98.316091520000001</c:v>
                </c:pt>
                <c:pt idx="39">
                  <c:v>98.473149347000003</c:v>
                </c:pt>
                <c:pt idx="40">
                  <c:v>98.593110925000005</c:v>
                </c:pt>
                <c:pt idx="41">
                  <c:v>98.845722094999999</c:v>
                </c:pt>
                <c:pt idx="42">
                  <c:v>99.26266167</c:v>
                </c:pt>
                <c:pt idx="43">
                  <c:v>99.782119426999998</c:v>
                </c:pt>
                <c:pt idx="44">
                  <c:v>100.09242582</c:v>
                </c:pt>
                <c:pt idx="45">
                  <c:v>100.23712260000001</c:v>
                </c:pt>
                <c:pt idx="46">
                  <c:v>100.5862783</c:v>
                </c:pt>
                <c:pt idx="47">
                  <c:v>100.82551248999999</c:v>
                </c:pt>
                <c:pt idx="48">
                  <c:v>101.23470904</c:v>
                </c:pt>
                <c:pt idx="49">
                  <c:v>101.65899871000001</c:v>
                </c:pt>
                <c:pt idx="50">
                  <c:v>101.83562506</c:v>
                </c:pt>
                <c:pt idx="51">
                  <c:v>101.91841186000001</c:v>
                </c:pt>
                <c:pt idx="52">
                  <c:v>102.02708663999999</c:v>
                </c:pt>
                <c:pt idx="53">
                  <c:v>102.08365219</c:v>
                </c:pt>
                <c:pt idx="54">
                  <c:v>102.11603504</c:v>
                </c:pt>
                <c:pt idx="55">
                  <c:v>102.17447412999999</c:v>
                </c:pt>
                <c:pt idx="56">
                  <c:v>102.27345433000001</c:v>
                </c:pt>
                <c:pt idx="57">
                  <c:v>102.26407915</c:v>
                </c:pt>
                <c:pt idx="58">
                  <c:v>102.26820116</c:v>
                </c:pt>
                <c:pt idx="59">
                  <c:v>102.30202961000001</c:v>
                </c:pt>
                <c:pt idx="60">
                  <c:v>102.33435754</c:v>
                </c:pt>
                <c:pt idx="61">
                  <c:v>102.47176297</c:v>
                </c:pt>
                <c:pt idx="62">
                  <c:v>102.53701936</c:v>
                </c:pt>
                <c:pt idx="63">
                  <c:v>102.50599303</c:v>
                </c:pt>
                <c:pt idx="64">
                  <c:v>102.36149681000001</c:v>
                </c:pt>
                <c:pt idx="65">
                  <c:v>102.33494683000001</c:v>
                </c:pt>
                <c:pt idx="66">
                  <c:v>102.25035439</c:v>
                </c:pt>
                <c:pt idx="67">
                  <c:v>102.16019844</c:v>
                </c:pt>
                <c:pt idx="68">
                  <c:v>102.12209301999999</c:v>
                </c:pt>
                <c:pt idx="69">
                  <c:v>102.28038103</c:v>
                </c:pt>
                <c:pt idx="70">
                  <c:v>102.19738225</c:v>
                </c:pt>
              </c:numCache>
            </c:numRef>
          </c:val>
          <c:smooth val="0"/>
          <c:extLst xmlns:c16r2="http://schemas.microsoft.com/office/drawing/2015/06/chart">
            <c:ext xmlns:c16="http://schemas.microsoft.com/office/drawing/2014/chart" uri="{C3380CC4-5D6E-409C-BE32-E72D297353CC}">
              <c16:uniqueId val="{00000002-C450-4FF0-83A1-C238A8A97814}"/>
            </c:ext>
          </c:extLst>
        </c:ser>
        <c:ser>
          <c:idx val="3"/>
          <c:order val="3"/>
          <c:tx>
            <c:strRef>
              <c:f>'Figura 4'!$E$1</c:f>
              <c:strCache>
                <c:ptCount val="1"/>
                <c:pt idx="0">
                  <c:v>80-89</c:v>
                </c:pt>
              </c:strCache>
            </c:strRef>
          </c:tx>
          <c:spPr>
            <a:ln w="25400" cap="rnd">
              <a:solidFill>
                <a:srgbClr val="92D050"/>
              </a:solidFill>
              <a:round/>
            </a:ln>
            <a:effectLst/>
          </c:spPr>
          <c:marker>
            <c:symbol val="none"/>
          </c:marker>
          <c:cat>
            <c:numRef>
              <c:f>'Figura 4'!$A$2:$A$72</c:f>
              <c:numCache>
                <c:formatCode>d\-mmm</c:formatCode>
                <c:ptCount val="71"/>
                <c:pt idx="0">
                  <c:v>43881</c:v>
                </c:pt>
                <c:pt idx="1">
                  <c:v>43882</c:v>
                </c:pt>
                <c:pt idx="2">
                  <c:v>43883</c:v>
                </c:pt>
                <c:pt idx="3">
                  <c:v>43884</c:v>
                </c:pt>
                <c:pt idx="4">
                  <c:v>43885</c:v>
                </c:pt>
                <c:pt idx="5">
                  <c:v>43886</c:v>
                </c:pt>
                <c:pt idx="6">
                  <c:v>43887</c:v>
                </c:pt>
                <c:pt idx="7">
                  <c:v>43888</c:v>
                </c:pt>
                <c:pt idx="8">
                  <c:v>43889</c:v>
                </c:pt>
                <c:pt idx="9">
                  <c:v>43890</c:v>
                </c:pt>
                <c:pt idx="10">
                  <c:v>43891</c:v>
                </c:pt>
                <c:pt idx="11">
                  <c:v>43892</c:v>
                </c:pt>
                <c:pt idx="12">
                  <c:v>43893</c:v>
                </c:pt>
                <c:pt idx="13">
                  <c:v>43894</c:v>
                </c:pt>
                <c:pt idx="14">
                  <c:v>43895</c:v>
                </c:pt>
                <c:pt idx="15">
                  <c:v>43896</c:v>
                </c:pt>
                <c:pt idx="16">
                  <c:v>43897</c:v>
                </c:pt>
                <c:pt idx="17">
                  <c:v>43898</c:v>
                </c:pt>
                <c:pt idx="18">
                  <c:v>43899</c:v>
                </c:pt>
                <c:pt idx="19">
                  <c:v>43900</c:v>
                </c:pt>
                <c:pt idx="20">
                  <c:v>43901</c:v>
                </c:pt>
                <c:pt idx="21">
                  <c:v>43902</c:v>
                </c:pt>
                <c:pt idx="22">
                  <c:v>43903</c:v>
                </c:pt>
                <c:pt idx="23">
                  <c:v>43904</c:v>
                </c:pt>
                <c:pt idx="24">
                  <c:v>43905</c:v>
                </c:pt>
                <c:pt idx="25">
                  <c:v>43906</c:v>
                </c:pt>
                <c:pt idx="26">
                  <c:v>43907</c:v>
                </c:pt>
                <c:pt idx="27">
                  <c:v>43908</c:v>
                </c:pt>
                <c:pt idx="28">
                  <c:v>43909</c:v>
                </c:pt>
                <c:pt idx="29">
                  <c:v>43910</c:v>
                </c:pt>
                <c:pt idx="30">
                  <c:v>43911</c:v>
                </c:pt>
                <c:pt idx="31">
                  <c:v>43912</c:v>
                </c:pt>
                <c:pt idx="32">
                  <c:v>43913</c:v>
                </c:pt>
                <c:pt idx="33">
                  <c:v>43914</c:v>
                </c:pt>
                <c:pt idx="34">
                  <c:v>43915</c:v>
                </c:pt>
                <c:pt idx="35">
                  <c:v>43916</c:v>
                </c:pt>
                <c:pt idx="36">
                  <c:v>43917</c:v>
                </c:pt>
                <c:pt idx="37">
                  <c:v>43918</c:v>
                </c:pt>
                <c:pt idx="38">
                  <c:v>43919</c:v>
                </c:pt>
                <c:pt idx="39">
                  <c:v>43920</c:v>
                </c:pt>
                <c:pt idx="40">
                  <c:v>43921</c:v>
                </c:pt>
                <c:pt idx="41">
                  <c:v>43922</c:v>
                </c:pt>
                <c:pt idx="42">
                  <c:v>43923</c:v>
                </c:pt>
                <c:pt idx="43">
                  <c:v>43924</c:v>
                </c:pt>
                <c:pt idx="44">
                  <c:v>43925</c:v>
                </c:pt>
                <c:pt idx="45">
                  <c:v>43926</c:v>
                </c:pt>
                <c:pt idx="46">
                  <c:v>43927</c:v>
                </c:pt>
                <c:pt idx="47">
                  <c:v>43928</c:v>
                </c:pt>
                <c:pt idx="48">
                  <c:v>43929</c:v>
                </c:pt>
                <c:pt idx="49">
                  <c:v>43930</c:v>
                </c:pt>
                <c:pt idx="50">
                  <c:v>43931</c:v>
                </c:pt>
                <c:pt idx="51">
                  <c:v>43932</c:v>
                </c:pt>
                <c:pt idx="52">
                  <c:v>43933</c:v>
                </c:pt>
                <c:pt idx="53">
                  <c:v>43934</c:v>
                </c:pt>
                <c:pt idx="54">
                  <c:v>43935</c:v>
                </c:pt>
                <c:pt idx="55">
                  <c:v>43936</c:v>
                </c:pt>
                <c:pt idx="56">
                  <c:v>43937</c:v>
                </c:pt>
                <c:pt idx="57">
                  <c:v>43938</c:v>
                </c:pt>
                <c:pt idx="58">
                  <c:v>43939</c:v>
                </c:pt>
                <c:pt idx="59">
                  <c:v>43940</c:v>
                </c:pt>
                <c:pt idx="60">
                  <c:v>43941</c:v>
                </c:pt>
                <c:pt idx="61">
                  <c:v>43942</c:v>
                </c:pt>
                <c:pt idx="62">
                  <c:v>43943</c:v>
                </c:pt>
                <c:pt idx="63">
                  <c:v>43944</c:v>
                </c:pt>
                <c:pt idx="64">
                  <c:v>43945</c:v>
                </c:pt>
                <c:pt idx="65">
                  <c:v>43946</c:v>
                </c:pt>
                <c:pt idx="66">
                  <c:v>43947</c:v>
                </c:pt>
                <c:pt idx="67">
                  <c:v>43948</c:v>
                </c:pt>
                <c:pt idx="68">
                  <c:v>43949</c:v>
                </c:pt>
                <c:pt idx="69">
                  <c:v>43950</c:v>
                </c:pt>
                <c:pt idx="70">
                  <c:v>43951</c:v>
                </c:pt>
              </c:numCache>
            </c:numRef>
          </c:cat>
          <c:val>
            <c:numRef>
              <c:f>'Figura 4'!$E$2:$E$72</c:f>
              <c:numCache>
                <c:formatCode>General</c:formatCode>
                <c:ptCount val="71"/>
                <c:pt idx="0">
                  <c:v>91.052237925</c:v>
                </c:pt>
                <c:pt idx="1">
                  <c:v>90.939830737999998</c:v>
                </c:pt>
                <c:pt idx="2">
                  <c:v>90.924612057999994</c:v>
                </c:pt>
                <c:pt idx="3">
                  <c:v>91.004866770000007</c:v>
                </c:pt>
                <c:pt idx="4">
                  <c:v>91.069039458999995</c:v>
                </c:pt>
                <c:pt idx="5">
                  <c:v>91.362545776000005</c:v>
                </c:pt>
                <c:pt idx="6">
                  <c:v>91.44134554</c:v>
                </c:pt>
                <c:pt idx="7">
                  <c:v>91.466820260000006</c:v>
                </c:pt>
                <c:pt idx="8">
                  <c:v>91.569867345000006</c:v>
                </c:pt>
                <c:pt idx="9">
                  <c:v>92.823859937999998</c:v>
                </c:pt>
                <c:pt idx="10">
                  <c:v>93.008939112999997</c:v>
                </c:pt>
                <c:pt idx="11">
                  <c:v>93.150935247000007</c:v>
                </c:pt>
                <c:pt idx="12">
                  <c:v>93.141904045999993</c:v>
                </c:pt>
                <c:pt idx="13">
                  <c:v>93.106282840999995</c:v>
                </c:pt>
                <c:pt idx="14">
                  <c:v>93.227338427000007</c:v>
                </c:pt>
                <c:pt idx="15">
                  <c:v>93.523376928000005</c:v>
                </c:pt>
                <c:pt idx="16">
                  <c:v>93.429744412999995</c:v>
                </c:pt>
                <c:pt idx="17">
                  <c:v>93.367028484000002</c:v>
                </c:pt>
                <c:pt idx="18">
                  <c:v>93.529774157999995</c:v>
                </c:pt>
                <c:pt idx="19">
                  <c:v>93.877883874000005</c:v>
                </c:pt>
                <c:pt idx="20">
                  <c:v>94.075916039000006</c:v>
                </c:pt>
                <c:pt idx="21">
                  <c:v>94.294667224999998</c:v>
                </c:pt>
                <c:pt idx="22">
                  <c:v>94.460753577000006</c:v>
                </c:pt>
                <c:pt idx="23">
                  <c:v>94.768022740000006</c:v>
                </c:pt>
                <c:pt idx="24">
                  <c:v>95.060629657999996</c:v>
                </c:pt>
                <c:pt idx="25">
                  <c:v>95.232211742999993</c:v>
                </c:pt>
                <c:pt idx="26">
                  <c:v>95.517732420000002</c:v>
                </c:pt>
                <c:pt idx="27">
                  <c:v>95.997800400000003</c:v>
                </c:pt>
                <c:pt idx="28">
                  <c:v>96.285843005999993</c:v>
                </c:pt>
                <c:pt idx="29">
                  <c:v>96.855378888000004</c:v>
                </c:pt>
                <c:pt idx="30">
                  <c:v>97.313653328000001</c:v>
                </c:pt>
                <c:pt idx="31">
                  <c:v>97.684876748999997</c:v>
                </c:pt>
                <c:pt idx="32">
                  <c:v>98.110004814000007</c:v>
                </c:pt>
                <c:pt idx="33">
                  <c:v>98.460266352999994</c:v>
                </c:pt>
                <c:pt idx="34">
                  <c:v>98.855075337000002</c:v>
                </c:pt>
                <c:pt idx="35">
                  <c:v>99.352488871000006</c:v>
                </c:pt>
                <c:pt idx="36">
                  <c:v>99.887140031000001</c:v>
                </c:pt>
                <c:pt idx="37">
                  <c:v>100.26548459999999</c:v>
                </c:pt>
                <c:pt idx="38">
                  <c:v>100.57570387</c:v>
                </c:pt>
                <c:pt idx="39">
                  <c:v>100.8879886</c:v>
                </c:pt>
                <c:pt idx="40">
                  <c:v>101.16034985</c:v>
                </c:pt>
                <c:pt idx="41">
                  <c:v>101.28817785</c:v>
                </c:pt>
                <c:pt idx="42">
                  <c:v>101.69336489</c:v>
                </c:pt>
                <c:pt idx="43">
                  <c:v>101.86937064999999</c:v>
                </c:pt>
                <c:pt idx="44">
                  <c:v>102.24122645</c:v>
                </c:pt>
                <c:pt idx="45">
                  <c:v>102.57593276</c:v>
                </c:pt>
                <c:pt idx="46">
                  <c:v>102.81022702</c:v>
                </c:pt>
                <c:pt idx="47">
                  <c:v>103.02404823000001</c:v>
                </c:pt>
                <c:pt idx="48">
                  <c:v>103.24563587</c:v>
                </c:pt>
                <c:pt idx="49">
                  <c:v>103.46418341</c:v>
                </c:pt>
                <c:pt idx="50">
                  <c:v>103.87082363</c:v>
                </c:pt>
                <c:pt idx="51">
                  <c:v>104.14271702000001</c:v>
                </c:pt>
                <c:pt idx="52">
                  <c:v>104.32414348</c:v>
                </c:pt>
                <c:pt idx="53">
                  <c:v>104.4758332</c:v>
                </c:pt>
                <c:pt idx="54">
                  <c:v>104.65116279</c:v>
                </c:pt>
                <c:pt idx="55">
                  <c:v>104.78785718</c:v>
                </c:pt>
                <c:pt idx="56">
                  <c:v>104.89266656</c:v>
                </c:pt>
                <c:pt idx="57">
                  <c:v>104.94080853</c:v>
                </c:pt>
                <c:pt idx="58">
                  <c:v>105.01018937000001</c:v>
                </c:pt>
                <c:pt idx="59">
                  <c:v>105.10433513</c:v>
                </c:pt>
                <c:pt idx="60">
                  <c:v>105.20650886999999</c:v>
                </c:pt>
                <c:pt idx="61">
                  <c:v>105.20030293000001</c:v>
                </c:pt>
                <c:pt idx="62">
                  <c:v>105.4064735</c:v>
                </c:pt>
                <c:pt idx="63">
                  <c:v>105.52727760000001</c:v>
                </c:pt>
                <c:pt idx="64">
                  <c:v>105.46010579999999</c:v>
                </c:pt>
                <c:pt idx="65">
                  <c:v>105.53391741</c:v>
                </c:pt>
                <c:pt idx="66">
                  <c:v>105.53621887</c:v>
                </c:pt>
                <c:pt idx="67">
                  <c:v>105.620722</c:v>
                </c:pt>
                <c:pt idx="68">
                  <c:v>105.56523663</c:v>
                </c:pt>
                <c:pt idx="69">
                  <c:v>105.53831223</c:v>
                </c:pt>
                <c:pt idx="70">
                  <c:v>105.50191821999999</c:v>
                </c:pt>
              </c:numCache>
            </c:numRef>
          </c:val>
          <c:smooth val="0"/>
          <c:extLst xmlns:c16r2="http://schemas.microsoft.com/office/drawing/2015/06/chart">
            <c:ext xmlns:c16="http://schemas.microsoft.com/office/drawing/2014/chart" uri="{C3380CC4-5D6E-409C-BE32-E72D297353CC}">
              <c16:uniqueId val="{00000003-C450-4FF0-83A1-C238A8A97814}"/>
            </c:ext>
          </c:extLst>
        </c:ser>
        <c:ser>
          <c:idx val="4"/>
          <c:order val="4"/>
          <c:tx>
            <c:strRef>
              <c:f>'Figura 4'!$F$1</c:f>
              <c:strCache>
                <c:ptCount val="1"/>
                <c:pt idx="0">
                  <c:v>90+</c:v>
                </c:pt>
              </c:strCache>
            </c:strRef>
          </c:tx>
          <c:spPr>
            <a:ln w="25400" cap="rnd">
              <a:solidFill>
                <a:srgbClr val="FF0000"/>
              </a:solidFill>
              <a:round/>
            </a:ln>
            <a:effectLst/>
          </c:spPr>
          <c:marker>
            <c:symbol val="none"/>
          </c:marker>
          <c:cat>
            <c:numRef>
              <c:f>'Figura 4'!$A$2:$A$72</c:f>
              <c:numCache>
                <c:formatCode>d\-mmm</c:formatCode>
                <c:ptCount val="71"/>
                <c:pt idx="0">
                  <c:v>43881</c:v>
                </c:pt>
                <c:pt idx="1">
                  <c:v>43882</c:v>
                </c:pt>
                <c:pt idx="2">
                  <c:v>43883</c:v>
                </c:pt>
                <c:pt idx="3">
                  <c:v>43884</c:v>
                </c:pt>
                <c:pt idx="4">
                  <c:v>43885</c:v>
                </c:pt>
                <c:pt idx="5">
                  <c:v>43886</c:v>
                </c:pt>
                <c:pt idx="6">
                  <c:v>43887</c:v>
                </c:pt>
                <c:pt idx="7">
                  <c:v>43888</c:v>
                </c:pt>
                <c:pt idx="8">
                  <c:v>43889</c:v>
                </c:pt>
                <c:pt idx="9">
                  <c:v>43890</c:v>
                </c:pt>
                <c:pt idx="10">
                  <c:v>43891</c:v>
                </c:pt>
                <c:pt idx="11">
                  <c:v>43892</c:v>
                </c:pt>
                <c:pt idx="12">
                  <c:v>43893</c:v>
                </c:pt>
                <c:pt idx="13">
                  <c:v>43894</c:v>
                </c:pt>
                <c:pt idx="14">
                  <c:v>43895</c:v>
                </c:pt>
                <c:pt idx="15">
                  <c:v>43896</c:v>
                </c:pt>
                <c:pt idx="16">
                  <c:v>43897</c:v>
                </c:pt>
                <c:pt idx="17">
                  <c:v>43898</c:v>
                </c:pt>
                <c:pt idx="18">
                  <c:v>43899</c:v>
                </c:pt>
                <c:pt idx="19">
                  <c:v>43900</c:v>
                </c:pt>
                <c:pt idx="20">
                  <c:v>43901</c:v>
                </c:pt>
                <c:pt idx="21">
                  <c:v>43902</c:v>
                </c:pt>
                <c:pt idx="22">
                  <c:v>43903</c:v>
                </c:pt>
                <c:pt idx="23">
                  <c:v>43904</c:v>
                </c:pt>
                <c:pt idx="24">
                  <c:v>43905</c:v>
                </c:pt>
                <c:pt idx="25">
                  <c:v>43906</c:v>
                </c:pt>
                <c:pt idx="26">
                  <c:v>43907</c:v>
                </c:pt>
                <c:pt idx="27">
                  <c:v>43908</c:v>
                </c:pt>
                <c:pt idx="28">
                  <c:v>43909</c:v>
                </c:pt>
                <c:pt idx="29">
                  <c:v>43910</c:v>
                </c:pt>
                <c:pt idx="30">
                  <c:v>43911</c:v>
                </c:pt>
                <c:pt idx="31">
                  <c:v>43912</c:v>
                </c:pt>
                <c:pt idx="32">
                  <c:v>43913</c:v>
                </c:pt>
                <c:pt idx="33">
                  <c:v>43914</c:v>
                </c:pt>
                <c:pt idx="34">
                  <c:v>43915</c:v>
                </c:pt>
                <c:pt idx="35">
                  <c:v>43916</c:v>
                </c:pt>
                <c:pt idx="36">
                  <c:v>43917</c:v>
                </c:pt>
                <c:pt idx="37">
                  <c:v>43918</c:v>
                </c:pt>
                <c:pt idx="38">
                  <c:v>43919</c:v>
                </c:pt>
                <c:pt idx="39">
                  <c:v>43920</c:v>
                </c:pt>
                <c:pt idx="40">
                  <c:v>43921</c:v>
                </c:pt>
                <c:pt idx="41">
                  <c:v>43922</c:v>
                </c:pt>
                <c:pt idx="42">
                  <c:v>43923</c:v>
                </c:pt>
                <c:pt idx="43">
                  <c:v>43924</c:v>
                </c:pt>
                <c:pt idx="44">
                  <c:v>43925</c:v>
                </c:pt>
                <c:pt idx="45">
                  <c:v>43926</c:v>
                </c:pt>
                <c:pt idx="46">
                  <c:v>43927</c:v>
                </c:pt>
                <c:pt idx="47">
                  <c:v>43928</c:v>
                </c:pt>
                <c:pt idx="48">
                  <c:v>43929</c:v>
                </c:pt>
                <c:pt idx="49">
                  <c:v>43930</c:v>
                </c:pt>
                <c:pt idx="50">
                  <c:v>43931</c:v>
                </c:pt>
                <c:pt idx="51">
                  <c:v>43932</c:v>
                </c:pt>
                <c:pt idx="52">
                  <c:v>43933</c:v>
                </c:pt>
                <c:pt idx="53">
                  <c:v>43934</c:v>
                </c:pt>
                <c:pt idx="54">
                  <c:v>43935</c:v>
                </c:pt>
                <c:pt idx="55">
                  <c:v>43936</c:v>
                </c:pt>
                <c:pt idx="56">
                  <c:v>43937</c:v>
                </c:pt>
                <c:pt idx="57">
                  <c:v>43938</c:v>
                </c:pt>
                <c:pt idx="58">
                  <c:v>43939</c:v>
                </c:pt>
                <c:pt idx="59">
                  <c:v>43940</c:v>
                </c:pt>
                <c:pt idx="60">
                  <c:v>43941</c:v>
                </c:pt>
                <c:pt idx="61">
                  <c:v>43942</c:v>
                </c:pt>
                <c:pt idx="62">
                  <c:v>43943</c:v>
                </c:pt>
                <c:pt idx="63">
                  <c:v>43944</c:v>
                </c:pt>
                <c:pt idx="64">
                  <c:v>43945</c:v>
                </c:pt>
                <c:pt idx="65">
                  <c:v>43946</c:v>
                </c:pt>
                <c:pt idx="66">
                  <c:v>43947</c:v>
                </c:pt>
                <c:pt idx="67">
                  <c:v>43948</c:v>
                </c:pt>
                <c:pt idx="68">
                  <c:v>43949</c:v>
                </c:pt>
                <c:pt idx="69">
                  <c:v>43950</c:v>
                </c:pt>
                <c:pt idx="70">
                  <c:v>43951</c:v>
                </c:pt>
              </c:numCache>
            </c:numRef>
          </c:cat>
          <c:val>
            <c:numRef>
              <c:f>'Figura 4'!$F$2:$F$72</c:f>
              <c:numCache>
                <c:formatCode>General</c:formatCode>
                <c:ptCount val="71"/>
                <c:pt idx="0">
                  <c:v>96.656518281000004</c:v>
                </c:pt>
                <c:pt idx="1">
                  <c:v>96.738135</c:v>
                </c:pt>
                <c:pt idx="2">
                  <c:v>96.549716885999999</c:v>
                </c:pt>
                <c:pt idx="3">
                  <c:v>96.884103203999999</c:v>
                </c:pt>
                <c:pt idx="4">
                  <c:v>97.001357200000001</c:v>
                </c:pt>
                <c:pt idx="5">
                  <c:v>97.205422839999997</c:v>
                </c:pt>
                <c:pt idx="6">
                  <c:v>97.591825600000007</c:v>
                </c:pt>
                <c:pt idx="7">
                  <c:v>97.671694244999998</c:v>
                </c:pt>
                <c:pt idx="8">
                  <c:v>97.777510812000003</c:v>
                </c:pt>
                <c:pt idx="9">
                  <c:v>98.957584471999994</c:v>
                </c:pt>
                <c:pt idx="10">
                  <c:v>99.037690456999997</c:v>
                </c:pt>
                <c:pt idx="11">
                  <c:v>99.191787821000005</c:v>
                </c:pt>
                <c:pt idx="12">
                  <c:v>99.123429381999998</c:v>
                </c:pt>
                <c:pt idx="13">
                  <c:v>98.889714659000006</c:v>
                </c:pt>
                <c:pt idx="14">
                  <c:v>98.927929328000005</c:v>
                </c:pt>
                <c:pt idx="15">
                  <c:v>99.168944779</c:v>
                </c:pt>
                <c:pt idx="16">
                  <c:v>99.367484834999999</c:v>
                </c:pt>
                <c:pt idx="17">
                  <c:v>99.565578482999996</c:v>
                </c:pt>
                <c:pt idx="18">
                  <c:v>99.693219306000003</c:v>
                </c:pt>
                <c:pt idx="19">
                  <c:v>99.896362316999998</c:v>
                </c:pt>
                <c:pt idx="20">
                  <c:v>99.987721523999994</c:v>
                </c:pt>
                <c:pt idx="21">
                  <c:v>100.08682133000001</c:v>
                </c:pt>
                <c:pt idx="22">
                  <c:v>100.20727041000001</c:v>
                </c:pt>
                <c:pt idx="23">
                  <c:v>100.30894565</c:v>
                </c:pt>
                <c:pt idx="24">
                  <c:v>100.66500739</c:v>
                </c:pt>
                <c:pt idx="25">
                  <c:v>100.78443436000001</c:v>
                </c:pt>
                <c:pt idx="26">
                  <c:v>100.97048657000001</c:v>
                </c:pt>
                <c:pt idx="27">
                  <c:v>101.36911693</c:v>
                </c:pt>
                <c:pt idx="28">
                  <c:v>101.75692742</c:v>
                </c:pt>
                <c:pt idx="29">
                  <c:v>102.23181484</c:v>
                </c:pt>
                <c:pt idx="30">
                  <c:v>102.63751044999999</c:v>
                </c:pt>
                <c:pt idx="31">
                  <c:v>103.01150665</c:v>
                </c:pt>
                <c:pt idx="32">
                  <c:v>103.20607429</c:v>
                </c:pt>
                <c:pt idx="33">
                  <c:v>103.56784539</c:v>
                </c:pt>
                <c:pt idx="34">
                  <c:v>103.77654293000001</c:v>
                </c:pt>
                <c:pt idx="35">
                  <c:v>104.32398883</c:v>
                </c:pt>
                <c:pt idx="36">
                  <c:v>104.68451243</c:v>
                </c:pt>
                <c:pt idx="37">
                  <c:v>105.27739732000001</c:v>
                </c:pt>
                <c:pt idx="38">
                  <c:v>105.66764336999999</c:v>
                </c:pt>
                <c:pt idx="39">
                  <c:v>106.09147987999999</c:v>
                </c:pt>
                <c:pt idx="40">
                  <c:v>106.48764063</c:v>
                </c:pt>
                <c:pt idx="41">
                  <c:v>106.70191135</c:v>
                </c:pt>
                <c:pt idx="42">
                  <c:v>107.14515973</c:v>
                </c:pt>
                <c:pt idx="43">
                  <c:v>107.16850454</c:v>
                </c:pt>
                <c:pt idx="44">
                  <c:v>107.38281559000001</c:v>
                </c:pt>
                <c:pt idx="45">
                  <c:v>107.57639835000001</c:v>
                </c:pt>
                <c:pt idx="46">
                  <c:v>108.01242236</c:v>
                </c:pt>
                <c:pt idx="47">
                  <c:v>108.39785128</c:v>
                </c:pt>
                <c:pt idx="48">
                  <c:v>108.73944963</c:v>
                </c:pt>
                <c:pt idx="49">
                  <c:v>109.14650761</c:v>
                </c:pt>
                <c:pt idx="50">
                  <c:v>109.41955041</c:v>
                </c:pt>
                <c:pt idx="51">
                  <c:v>109.73705345</c:v>
                </c:pt>
                <c:pt idx="52">
                  <c:v>109.91579537</c:v>
                </c:pt>
                <c:pt idx="53">
                  <c:v>110.28583961</c:v>
                </c:pt>
                <c:pt idx="54">
                  <c:v>110.57273834999999</c:v>
                </c:pt>
                <c:pt idx="55">
                  <c:v>110.78908002999999</c:v>
                </c:pt>
                <c:pt idx="56">
                  <c:v>110.98970162000001</c:v>
                </c:pt>
                <c:pt idx="57">
                  <c:v>111.16385846</c:v>
                </c:pt>
                <c:pt idx="58">
                  <c:v>111.34477423</c:v>
                </c:pt>
                <c:pt idx="59">
                  <c:v>111.50747665</c:v>
                </c:pt>
                <c:pt idx="60">
                  <c:v>111.8489457</c:v>
                </c:pt>
                <c:pt idx="61">
                  <c:v>111.8745959</c:v>
                </c:pt>
                <c:pt idx="62">
                  <c:v>112.14844764</c:v>
                </c:pt>
                <c:pt idx="63">
                  <c:v>112.26121122000001</c:v>
                </c:pt>
                <c:pt idx="64">
                  <c:v>112.44669259</c:v>
                </c:pt>
                <c:pt idx="65">
                  <c:v>112.529715</c:v>
                </c:pt>
                <c:pt idx="66">
                  <c:v>112.52934078</c:v>
                </c:pt>
                <c:pt idx="67">
                  <c:v>112.49210026999999</c:v>
                </c:pt>
                <c:pt idx="68">
                  <c:v>112.59499549</c:v>
                </c:pt>
                <c:pt idx="69">
                  <c:v>112.635829</c:v>
                </c:pt>
                <c:pt idx="70">
                  <c:v>112.60529133</c:v>
                </c:pt>
              </c:numCache>
            </c:numRef>
          </c:val>
          <c:smooth val="0"/>
          <c:extLst xmlns:c16r2="http://schemas.microsoft.com/office/drawing/2015/06/chart">
            <c:ext xmlns:c16="http://schemas.microsoft.com/office/drawing/2014/chart" uri="{C3380CC4-5D6E-409C-BE32-E72D297353CC}">
              <c16:uniqueId val="{00000004-C450-4FF0-83A1-C238A8A97814}"/>
            </c:ext>
          </c:extLst>
        </c:ser>
        <c:ser>
          <c:idx val="5"/>
          <c:order val="5"/>
          <c:spPr>
            <a:ln w="25400" cap="rnd">
              <a:solidFill>
                <a:schemeClr val="tx1"/>
              </a:solidFill>
              <a:round/>
            </a:ln>
            <a:effectLst/>
          </c:spPr>
          <c:marker>
            <c:symbol val="none"/>
          </c:marker>
          <c:cat>
            <c:numRef>
              <c:f>'Figura 4'!$A$2:$A$72</c:f>
              <c:numCache>
                <c:formatCode>d\-mmm</c:formatCode>
                <c:ptCount val="71"/>
                <c:pt idx="0">
                  <c:v>43881</c:v>
                </c:pt>
                <c:pt idx="1">
                  <c:v>43882</c:v>
                </c:pt>
                <c:pt idx="2">
                  <c:v>43883</c:v>
                </c:pt>
                <c:pt idx="3">
                  <c:v>43884</c:v>
                </c:pt>
                <c:pt idx="4">
                  <c:v>43885</c:v>
                </c:pt>
                <c:pt idx="5">
                  <c:v>43886</c:v>
                </c:pt>
                <c:pt idx="6">
                  <c:v>43887</c:v>
                </c:pt>
                <c:pt idx="7">
                  <c:v>43888</c:v>
                </c:pt>
                <c:pt idx="8">
                  <c:v>43889</c:v>
                </c:pt>
                <c:pt idx="9">
                  <c:v>43890</c:v>
                </c:pt>
                <c:pt idx="10">
                  <c:v>43891</c:v>
                </c:pt>
                <c:pt idx="11">
                  <c:v>43892</c:v>
                </c:pt>
                <c:pt idx="12">
                  <c:v>43893</c:v>
                </c:pt>
                <c:pt idx="13">
                  <c:v>43894</c:v>
                </c:pt>
                <c:pt idx="14">
                  <c:v>43895</c:v>
                </c:pt>
                <c:pt idx="15">
                  <c:v>43896</c:v>
                </c:pt>
                <c:pt idx="16">
                  <c:v>43897</c:v>
                </c:pt>
                <c:pt idx="17">
                  <c:v>43898</c:v>
                </c:pt>
                <c:pt idx="18">
                  <c:v>43899</c:v>
                </c:pt>
                <c:pt idx="19">
                  <c:v>43900</c:v>
                </c:pt>
                <c:pt idx="20">
                  <c:v>43901</c:v>
                </c:pt>
                <c:pt idx="21">
                  <c:v>43902</c:v>
                </c:pt>
                <c:pt idx="22">
                  <c:v>43903</c:v>
                </c:pt>
                <c:pt idx="23">
                  <c:v>43904</c:v>
                </c:pt>
                <c:pt idx="24">
                  <c:v>43905</c:v>
                </c:pt>
                <c:pt idx="25">
                  <c:v>43906</c:v>
                </c:pt>
                <c:pt idx="26">
                  <c:v>43907</c:v>
                </c:pt>
                <c:pt idx="27">
                  <c:v>43908</c:v>
                </c:pt>
                <c:pt idx="28">
                  <c:v>43909</c:v>
                </c:pt>
                <c:pt idx="29">
                  <c:v>43910</c:v>
                </c:pt>
                <c:pt idx="30">
                  <c:v>43911</c:v>
                </c:pt>
                <c:pt idx="31">
                  <c:v>43912</c:v>
                </c:pt>
                <c:pt idx="32">
                  <c:v>43913</c:v>
                </c:pt>
                <c:pt idx="33">
                  <c:v>43914</c:v>
                </c:pt>
                <c:pt idx="34">
                  <c:v>43915</c:v>
                </c:pt>
                <c:pt idx="35">
                  <c:v>43916</c:v>
                </c:pt>
                <c:pt idx="36">
                  <c:v>43917</c:v>
                </c:pt>
                <c:pt idx="37">
                  <c:v>43918</c:v>
                </c:pt>
                <c:pt idx="38">
                  <c:v>43919</c:v>
                </c:pt>
                <c:pt idx="39">
                  <c:v>43920</c:v>
                </c:pt>
                <c:pt idx="40">
                  <c:v>43921</c:v>
                </c:pt>
                <c:pt idx="41">
                  <c:v>43922</c:v>
                </c:pt>
                <c:pt idx="42">
                  <c:v>43923</c:v>
                </c:pt>
                <c:pt idx="43">
                  <c:v>43924</c:v>
                </c:pt>
                <c:pt idx="44">
                  <c:v>43925</c:v>
                </c:pt>
                <c:pt idx="45">
                  <c:v>43926</c:v>
                </c:pt>
                <c:pt idx="46">
                  <c:v>43927</c:v>
                </c:pt>
                <c:pt idx="47">
                  <c:v>43928</c:v>
                </c:pt>
                <c:pt idx="48">
                  <c:v>43929</c:v>
                </c:pt>
                <c:pt idx="49">
                  <c:v>43930</c:v>
                </c:pt>
                <c:pt idx="50">
                  <c:v>43931</c:v>
                </c:pt>
                <c:pt idx="51">
                  <c:v>43932</c:v>
                </c:pt>
                <c:pt idx="52">
                  <c:v>43933</c:v>
                </c:pt>
                <c:pt idx="53">
                  <c:v>43934</c:v>
                </c:pt>
                <c:pt idx="54">
                  <c:v>43935</c:v>
                </c:pt>
                <c:pt idx="55">
                  <c:v>43936</c:v>
                </c:pt>
                <c:pt idx="56">
                  <c:v>43937</c:v>
                </c:pt>
                <c:pt idx="57">
                  <c:v>43938</c:v>
                </c:pt>
                <c:pt idx="58">
                  <c:v>43939</c:v>
                </c:pt>
                <c:pt idx="59">
                  <c:v>43940</c:v>
                </c:pt>
                <c:pt idx="60">
                  <c:v>43941</c:v>
                </c:pt>
                <c:pt idx="61">
                  <c:v>43942</c:v>
                </c:pt>
                <c:pt idx="62">
                  <c:v>43943</c:v>
                </c:pt>
                <c:pt idx="63">
                  <c:v>43944</c:v>
                </c:pt>
                <c:pt idx="64">
                  <c:v>43945</c:v>
                </c:pt>
                <c:pt idx="65">
                  <c:v>43946</c:v>
                </c:pt>
                <c:pt idx="66">
                  <c:v>43947</c:v>
                </c:pt>
                <c:pt idx="67">
                  <c:v>43948</c:v>
                </c:pt>
                <c:pt idx="68">
                  <c:v>43949</c:v>
                </c:pt>
                <c:pt idx="69">
                  <c:v>43950</c:v>
                </c:pt>
                <c:pt idx="70">
                  <c:v>43951</c:v>
                </c:pt>
              </c:numCache>
            </c:numRef>
          </c:cat>
          <c:val>
            <c:numRef>
              <c:f>'Figura 4'!$G$2:$G$72</c:f>
              <c:numCache>
                <c:formatCode>General</c:formatCode>
                <c:ptCount val="7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numCache>
            </c:numRef>
          </c:val>
          <c:smooth val="0"/>
          <c:extLst xmlns:c16r2="http://schemas.microsoft.com/office/drawing/2015/06/chart">
            <c:ext xmlns:c16="http://schemas.microsoft.com/office/drawing/2014/chart" uri="{C3380CC4-5D6E-409C-BE32-E72D297353CC}">
              <c16:uniqueId val="{00000005-C450-4FF0-83A1-C238A8A97814}"/>
            </c:ext>
          </c:extLst>
        </c:ser>
        <c:dLbls>
          <c:showLegendKey val="0"/>
          <c:showVal val="0"/>
          <c:showCatName val="0"/>
          <c:showSerName val="0"/>
          <c:showPercent val="0"/>
          <c:showBubbleSize val="0"/>
        </c:dLbls>
        <c:marker val="1"/>
        <c:smooth val="0"/>
        <c:axId val="219238400"/>
        <c:axId val="219239936"/>
      </c:lineChart>
      <c:dateAx>
        <c:axId val="219238400"/>
        <c:scaling>
          <c:orientation val="minMax"/>
        </c:scaling>
        <c:delete val="0"/>
        <c:axPos val="b"/>
        <c:majorGridlines>
          <c:spPr>
            <a:ln w="9525" cap="flat" cmpd="sng" algn="ctr">
              <a:solidFill>
                <a:schemeClr val="tx1">
                  <a:lumMod val="15000"/>
                  <a:lumOff val="85000"/>
                </a:schemeClr>
              </a:solidFill>
              <a:round/>
            </a:ln>
            <a:effectLst/>
          </c:spPr>
        </c:majorGridlines>
        <c:numFmt formatCode="d\-m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crossAx val="219239936"/>
        <c:crosses val="autoZero"/>
        <c:auto val="1"/>
        <c:lblOffset val="100"/>
        <c:baseTimeUnit val="days"/>
        <c:majorUnit val="3"/>
        <c:majorTimeUnit val="days"/>
      </c:dateAx>
      <c:valAx>
        <c:axId val="219239936"/>
        <c:scaling>
          <c:orientation val="minMax"/>
          <c:max val="115"/>
          <c:min val="8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crossAx val="219238400"/>
        <c:crosses val="autoZero"/>
        <c:crossBetween val="between"/>
      </c:valAx>
      <c:spPr>
        <a:noFill/>
        <a:ln>
          <a:noFill/>
        </a:ln>
        <a:effectLst/>
      </c:spPr>
    </c:plotArea>
    <c:legend>
      <c:legendPos val="t"/>
      <c:legendEntry>
        <c:idx val="5"/>
        <c:delete val="1"/>
      </c:legendEntry>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'Figura 5'!$B$1</c:f>
              <c:strCache>
                <c:ptCount val="1"/>
                <c:pt idx="0">
                  <c:v>50-59</c:v>
                </c:pt>
              </c:strCache>
            </c:strRef>
          </c:tx>
          <c:spPr>
            <a:ln w="25400" cap="rnd">
              <a:solidFill>
                <a:srgbClr val="7030A0"/>
              </a:solidFill>
              <a:round/>
            </a:ln>
            <a:effectLst/>
          </c:spPr>
          <c:marker>
            <c:symbol val="none"/>
          </c:marker>
          <c:cat>
            <c:numRef>
              <c:f>'Figura 5'!$A$2:$A$72</c:f>
              <c:numCache>
                <c:formatCode>d\-mmm</c:formatCode>
                <c:ptCount val="71"/>
                <c:pt idx="0">
                  <c:v>43881</c:v>
                </c:pt>
                <c:pt idx="1">
                  <c:v>43882</c:v>
                </c:pt>
                <c:pt idx="2">
                  <c:v>43883</c:v>
                </c:pt>
                <c:pt idx="3">
                  <c:v>43884</c:v>
                </c:pt>
                <c:pt idx="4">
                  <c:v>43885</c:v>
                </c:pt>
                <c:pt idx="5">
                  <c:v>43886</c:v>
                </c:pt>
                <c:pt idx="6">
                  <c:v>43887</c:v>
                </c:pt>
                <c:pt idx="7">
                  <c:v>43888</c:v>
                </c:pt>
                <c:pt idx="8">
                  <c:v>43889</c:v>
                </c:pt>
                <c:pt idx="9">
                  <c:v>43890</c:v>
                </c:pt>
                <c:pt idx="10">
                  <c:v>43891</c:v>
                </c:pt>
                <c:pt idx="11">
                  <c:v>43892</c:v>
                </c:pt>
                <c:pt idx="12">
                  <c:v>43893</c:v>
                </c:pt>
                <c:pt idx="13">
                  <c:v>43894</c:v>
                </c:pt>
                <c:pt idx="14">
                  <c:v>43895</c:v>
                </c:pt>
                <c:pt idx="15">
                  <c:v>43896</c:v>
                </c:pt>
                <c:pt idx="16">
                  <c:v>43897</c:v>
                </c:pt>
                <c:pt idx="17">
                  <c:v>43898</c:v>
                </c:pt>
                <c:pt idx="18">
                  <c:v>43899</c:v>
                </c:pt>
                <c:pt idx="19">
                  <c:v>43900</c:v>
                </c:pt>
                <c:pt idx="20">
                  <c:v>43901</c:v>
                </c:pt>
                <c:pt idx="21">
                  <c:v>43902</c:v>
                </c:pt>
                <c:pt idx="22">
                  <c:v>43903</c:v>
                </c:pt>
                <c:pt idx="23">
                  <c:v>43904</c:v>
                </c:pt>
                <c:pt idx="24">
                  <c:v>43905</c:v>
                </c:pt>
                <c:pt idx="25">
                  <c:v>43906</c:v>
                </c:pt>
                <c:pt idx="26">
                  <c:v>43907</c:v>
                </c:pt>
                <c:pt idx="27">
                  <c:v>43908</c:v>
                </c:pt>
                <c:pt idx="28">
                  <c:v>43909</c:v>
                </c:pt>
                <c:pt idx="29">
                  <c:v>43910</c:v>
                </c:pt>
                <c:pt idx="30">
                  <c:v>43911</c:v>
                </c:pt>
                <c:pt idx="31">
                  <c:v>43912</c:v>
                </c:pt>
                <c:pt idx="32">
                  <c:v>43913</c:v>
                </c:pt>
                <c:pt idx="33">
                  <c:v>43914</c:v>
                </c:pt>
                <c:pt idx="34">
                  <c:v>43915</c:v>
                </c:pt>
                <c:pt idx="35">
                  <c:v>43916</c:v>
                </c:pt>
                <c:pt idx="36">
                  <c:v>43917</c:v>
                </c:pt>
                <c:pt idx="37">
                  <c:v>43918</c:v>
                </c:pt>
                <c:pt idx="38">
                  <c:v>43919</c:v>
                </c:pt>
                <c:pt idx="39">
                  <c:v>43920</c:v>
                </c:pt>
                <c:pt idx="40">
                  <c:v>43921</c:v>
                </c:pt>
                <c:pt idx="41">
                  <c:v>43922</c:v>
                </c:pt>
                <c:pt idx="42">
                  <c:v>43923</c:v>
                </c:pt>
                <c:pt idx="43">
                  <c:v>43924</c:v>
                </c:pt>
                <c:pt idx="44">
                  <c:v>43925</c:v>
                </c:pt>
                <c:pt idx="45">
                  <c:v>43926</c:v>
                </c:pt>
                <c:pt idx="46">
                  <c:v>43927</c:v>
                </c:pt>
                <c:pt idx="47">
                  <c:v>43928</c:v>
                </c:pt>
                <c:pt idx="48">
                  <c:v>43929</c:v>
                </c:pt>
                <c:pt idx="49">
                  <c:v>43930</c:v>
                </c:pt>
                <c:pt idx="50">
                  <c:v>43931</c:v>
                </c:pt>
                <c:pt idx="51">
                  <c:v>43932</c:v>
                </c:pt>
                <c:pt idx="52">
                  <c:v>43933</c:v>
                </c:pt>
                <c:pt idx="53">
                  <c:v>43934</c:v>
                </c:pt>
                <c:pt idx="54">
                  <c:v>43935</c:v>
                </c:pt>
                <c:pt idx="55">
                  <c:v>43936</c:v>
                </c:pt>
                <c:pt idx="56">
                  <c:v>43937</c:v>
                </c:pt>
                <c:pt idx="57">
                  <c:v>43938</c:v>
                </c:pt>
                <c:pt idx="58">
                  <c:v>43939</c:v>
                </c:pt>
                <c:pt idx="59">
                  <c:v>43940</c:v>
                </c:pt>
                <c:pt idx="60">
                  <c:v>43941</c:v>
                </c:pt>
                <c:pt idx="61">
                  <c:v>43942</c:v>
                </c:pt>
                <c:pt idx="62">
                  <c:v>43943</c:v>
                </c:pt>
                <c:pt idx="63">
                  <c:v>43944</c:v>
                </c:pt>
                <c:pt idx="64">
                  <c:v>43945</c:v>
                </c:pt>
                <c:pt idx="65">
                  <c:v>43946</c:v>
                </c:pt>
                <c:pt idx="66">
                  <c:v>43947</c:v>
                </c:pt>
                <c:pt idx="67">
                  <c:v>43948</c:v>
                </c:pt>
                <c:pt idx="68">
                  <c:v>43949</c:v>
                </c:pt>
                <c:pt idx="69">
                  <c:v>43950</c:v>
                </c:pt>
                <c:pt idx="70">
                  <c:v>43951</c:v>
                </c:pt>
              </c:numCache>
            </c:numRef>
          </c:cat>
          <c:val>
            <c:numRef>
              <c:f>'Figura 5'!$B$2:$B$72</c:f>
              <c:numCache>
                <c:formatCode>General</c:formatCode>
                <c:ptCount val="71"/>
                <c:pt idx="0">
                  <c:v>95.364558184000003</c:v>
                </c:pt>
                <c:pt idx="1">
                  <c:v>95.359299159000003</c:v>
                </c:pt>
                <c:pt idx="2">
                  <c:v>95.370692656000003</c:v>
                </c:pt>
                <c:pt idx="3">
                  <c:v>95.352289596999995</c:v>
                </c:pt>
                <c:pt idx="4">
                  <c:v>95.572536240000005</c:v>
                </c:pt>
                <c:pt idx="5">
                  <c:v>95.864661654000002</c:v>
                </c:pt>
                <c:pt idx="6">
                  <c:v>95.631384482000001</c:v>
                </c:pt>
                <c:pt idx="7">
                  <c:v>95.688917415000006</c:v>
                </c:pt>
                <c:pt idx="8">
                  <c:v>95.640756303000003</c:v>
                </c:pt>
                <c:pt idx="9">
                  <c:v>96.828221501000002</c:v>
                </c:pt>
                <c:pt idx="10">
                  <c:v>96.165707237000007</c:v>
                </c:pt>
                <c:pt idx="11">
                  <c:v>95.786602001000006</c:v>
                </c:pt>
                <c:pt idx="12">
                  <c:v>95.543618820000006</c:v>
                </c:pt>
                <c:pt idx="13">
                  <c:v>95.724907063000003</c:v>
                </c:pt>
                <c:pt idx="14">
                  <c:v>95.859412613999993</c:v>
                </c:pt>
                <c:pt idx="15">
                  <c:v>95.866983372999997</c:v>
                </c:pt>
                <c:pt idx="16">
                  <c:v>95.514561289</c:v>
                </c:pt>
                <c:pt idx="17">
                  <c:v>95.323741006999995</c:v>
                </c:pt>
                <c:pt idx="18">
                  <c:v>95.803750227999998</c:v>
                </c:pt>
                <c:pt idx="19">
                  <c:v>95.729409653999994</c:v>
                </c:pt>
                <c:pt idx="20">
                  <c:v>95.886160121000003</c:v>
                </c:pt>
                <c:pt idx="21">
                  <c:v>95.854469127000002</c:v>
                </c:pt>
                <c:pt idx="22">
                  <c:v>95.529330692000002</c:v>
                </c:pt>
                <c:pt idx="23">
                  <c:v>95.141012571999994</c:v>
                </c:pt>
                <c:pt idx="24">
                  <c:v>94.729344729000005</c:v>
                </c:pt>
                <c:pt idx="25">
                  <c:v>94.716388292000005</c:v>
                </c:pt>
                <c:pt idx="26">
                  <c:v>94.468918256999999</c:v>
                </c:pt>
                <c:pt idx="27">
                  <c:v>94.572831950999998</c:v>
                </c:pt>
                <c:pt idx="28">
                  <c:v>94.428969359000007</c:v>
                </c:pt>
                <c:pt idx="29">
                  <c:v>94.481999685999995</c:v>
                </c:pt>
                <c:pt idx="30">
                  <c:v>94.657555521000006</c:v>
                </c:pt>
                <c:pt idx="31">
                  <c:v>94.930379259999995</c:v>
                </c:pt>
                <c:pt idx="32">
                  <c:v>94.521692880000003</c:v>
                </c:pt>
                <c:pt idx="33">
                  <c:v>94.611858420000004</c:v>
                </c:pt>
                <c:pt idx="34">
                  <c:v>94.896213079000006</c:v>
                </c:pt>
                <c:pt idx="35">
                  <c:v>94.999262427999994</c:v>
                </c:pt>
                <c:pt idx="36">
                  <c:v>94.954296161000002</c:v>
                </c:pt>
                <c:pt idx="37">
                  <c:v>95.226021442999993</c:v>
                </c:pt>
                <c:pt idx="38">
                  <c:v>95.159555396000002</c:v>
                </c:pt>
                <c:pt idx="39">
                  <c:v>95.297205277000003</c:v>
                </c:pt>
                <c:pt idx="40">
                  <c:v>95.852922602000007</c:v>
                </c:pt>
                <c:pt idx="41">
                  <c:v>96.063046799000006</c:v>
                </c:pt>
                <c:pt idx="42">
                  <c:v>95.804676753999999</c:v>
                </c:pt>
                <c:pt idx="43">
                  <c:v>95.722944901999995</c:v>
                </c:pt>
                <c:pt idx="44">
                  <c:v>95.669450431000001</c:v>
                </c:pt>
                <c:pt idx="45">
                  <c:v>95.579410588000002</c:v>
                </c:pt>
                <c:pt idx="46">
                  <c:v>95.583388266</c:v>
                </c:pt>
                <c:pt idx="47">
                  <c:v>95.461965393</c:v>
                </c:pt>
                <c:pt idx="48">
                  <c:v>95.251937983999994</c:v>
                </c:pt>
                <c:pt idx="49">
                  <c:v>94.912437683999997</c:v>
                </c:pt>
                <c:pt idx="50">
                  <c:v>95.033217336000007</c:v>
                </c:pt>
                <c:pt idx="51">
                  <c:v>95.003761284000007</c:v>
                </c:pt>
                <c:pt idx="52">
                  <c:v>95.075239397999994</c:v>
                </c:pt>
                <c:pt idx="53">
                  <c:v>94.959329554000007</c:v>
                </c:pt>
                <c:pt idx="54">
                  <c:v>94.744882371000003</c:v>
                </c:pt>
                <c:pt idx="55">
                  <c:v>94.629775382999995</c:v>
                </c:pt>
                <c:pt idx="56">
                  <c:v>94.553206822000007</c:v>
                </c:pt>
                <c:pt idx="57">
                  <c:v>94.437834621999997</c:v>
                </c:pt>
                <c:pt idx="58">
                  <c:v>94.127704734000005</c:v>
                </c:pt>
                <c:pt idx="59">
                  <c:v>94.033078137000004</c:v>
                </c:pt>
                <c:pt idx="60">
                  <c:v>94.302952950000005</c:v>
                </c:pt>
                <c:pt idx="61">
                  <c:v>94.263003283000003</c:v>
                </c:pt>
                <c:pt idx="62">
                  <c:v>94.471758518000001</c:v>
                </c:pt>
                <c:pt idx="63">
                  <c:v>94.458295558000003</c:v>
                </c:pt>
                <c:pt idx="64">
                  <c:v>94.357102750999999</c:v>
                </c:pt>
                <c:pt idx="65">
                  <c:v>94.306544969000001</c:v>
                </c:pt>
                <c:pt idx="66">
                  <c:v>94.339101111000005</c:v>
                </c:pt>
                <c:pt idx="67">
                  <c:v>94.340140536000007</c:v>
                </c:pt>
                <c:pt idx="68">
                  <c:v>94.395682277000006</c:v>
                </c:pt>
                <c:pt idx="69">
                  <c:v>94.221717253999998</c:v>
                </c:pt>
                <c:pt idx="70">
                  <c:v>94.344183048999994</c:v>
                </c:pt>
              </c:numCache>
            </c:numRef>
          </c:val>
          <c:smooth val="0"/>
          <c:extLst xmlns:c16r2="http://schemas.microsoft.com/office/drawing/2015/06/chart">
            <c:ext xmlns:c16="http://schemas.microsoft.com/office/drawing/2014/chart" uri="{C3380CC4-5D6E-409C-BE32-E72D297353CC}">
              <c16:uniqueId val="{00000000-57CE-477F-8243-27A65504200A}"/>
            </c:ext>
          </c:extLst>
        </c:ser>
        <c:ser>
          <c:idx val="1"/>
          <c:order val="1"/>
          <c:tx>
            <c:strRef>
              <c:f>'Figura 5'!$C$1</c:f>
              <c:strCache>
                <c:ptCount val="1"/>
                <c:pt idx="0">
                  <c:v>60-69</c:v>
                </c:pt>
              </c:strCache>
            </c:strRef>
          </c:tx>
          <c:spPr>
            <a:ln w="25400" cap="rnd">
              <a:solidFill>
                <a:srgbClr val="FFC000"/>
              </a:solidFill>
              <a:round/>
            </a:ln>
            <a:effectLst/>
          </c:spPr>
          <c:marker>
            <c:symbol val="none"/>
          </c:marker>
          <c:cat>
            <c:numRef>
              <c:f>'Figura 5'!$A$2:$A$72</c:f>
              <c:numCache>
                <c:formatCode>d\-mmm</c:formatCode>
                <c:ptCount val="71"/>
                <c:pt idx="0">
                  <c:v>43881</c:v>
                </c:pt>
                <c:pt idx="1">
                  <c:v>43882</c:v>
                </c:pt>
                <c:pt idx="2">
                  <c:v>43883</c:v>
                </c:pt>
                <c:pt idx="3">
                  <c:v>43884</c:v>
                </c:pt>
                <c:pt idx="4">
                  <c:v>43885</c:v>
                </c:pt>
                <c:pt idx="5">
                  <c:v>43886</c:v>
                </c:pt>
                <c:pt idx="6">
                  <c:v>43887</c:v>
                </c:pt>
                <c:pt idx="7">
                  <c:v>43888</c:v>
                </c:pt>
                <c:pt idx="8">
                  <c:v>43889</c:v>
                </c:pt>
                <c:pt idx="9">
                  <c:v>43890</c:v>
                </c:pt>
                <c:pt idx="10">
                  <c:v>43891</c:v>
                </c:pt>
                <c:pt idx="11">
                  <c:v>43892</c:v>
                </c:pt>
                <c:pt idx="12">
                  <c:v>43893</c:v>
                </c:pt>
                <c:pt idx="13">
                  <c:v>43894</c:v>
                </c:pt>
                <c:pt idx="14">
                  <c:v>43895</c:v>
                </c:pt>
                <c:pt idx="15">
                  <c:v>43896</c:v>
                </c:pt>
                <c:pt idx="16">
                  <c:v>43897</c:v>
                </c:pt>
                <c:pt idx="17">
                  <c:v>43898</c:v>
                </c:pt>
                <c:pt idx="18">
                  <c:v>43899</c:v>
                </c:pt>
                <c:pt idx="19">
                  <c:v>43900</c:v>
                </c:pt>
                <c:pt idx="20">
                  <c:v>43901</c:v>
                </c:pt>
                <c:pt idx="21">
                  <c:v>43902</c:v>
                </c:pt>
                <c:pt idx="22">
                  <c:v>43903</c:v>
                </c:pt>
                <c:pt idx="23">
                  <c:v>43904</c:v>
                </c:pt>
                <c:pt idx="24">
                  <c:v>43905</c:v>
                </c:pt>
                <c:pt idx="25">
                  <c:v>43906</c:v>
                </c:pt>
                <c:pt idx="26">
                  <c:v>43907</c:v>
                </c:pt>
                <c:pt idx="27">
                  <c:v>43908</c:v>
                </c:pt>
                <c:pt idx="28">
                  <c:v>43909</c:v>
                </c:pt>
                <c:pt idx="29">
                  <c:v>43910</c:v>
                </c:pt>
                <c:pt idx="30">
                  <c:v>43911</c:v>
                </c:pt>
                <c:pt idx="31">
                  <c:v>43912</c:v>
                </c:pt>
                <c:pt idx="32">
                  <c:v>43913</c:v>
                </c:pt>
                <c:pt idx="33">
                  <c:v>43914</c:v>
                </c:pt>
                <c:pt idx="34">
                  <c:v>43915</c:v>
                </c:pt>
                <c:pt idx="35">
                  <c:v>43916</c:v>
                </c:pt>
                <c:pt idx="36">
                  <c:v>43917</c:v>
                </c:pt>
                <c:pt idx="37">
                  <c:v>43918</c:v>
                </c:pt>
                <c:pt idx="38">
                  <c:v>43919</c:v>
                </c:pt>
                <c:pt idx="39">
                  <c:v>43920</c:v>
                </c:pt>
                <c:pt idx="40">
                  <c:v>43921</c:v>
                </c:pt>
                <c:pt idx="41">
                  <c:v>43922</c:v>
                </c:pt>
                <c:pt idx="42">
                  <c:v>43923</c:v>
                </c:pt>
                <c:pt idx="43">
                  <c:v>43924</c:v>
                </c:pt>
                <c:pt idx="44">
                  <c:v>43925</c:v>
                </c:pt>
                <c:pt idx="45">
                  <c:v>43926</c:v>
                </c:pt>
                <c:pt idx="46">
                  <c:v>43927</c:v>
                </c:pt>
                <c:pt idx="47">
                  <c:v>43928</c:v>
                </c:pt>
                <c:pt idx="48">
                  <c:v>43929</c:v>
                </c:pt>
                <c:pt idx="49">
                  <c:v>43930</c:v>
                </c:pt>
                <c:pt idx="50">
                  <c:v>43931</c:v>
                </c:pt>
                <c:pt idx="51">
                  <c:v>43932</c:v>
                </c:pt>
                <c:pt idx="52">
                  <c:v>43933</c:v>
                </c:pt>
                <c:pt idx="53">
                  <c:v>43934</c:v>
                </c:pt>
                <c:pt idx="54">
                  <c:v>43935</c:v>
                </c:pt>
                <c:pt idx="55">
                  <c:v>43936</c:v>
                </c:pt>
                <c:pt idx="56">
                  <c:v>43937</c:v>
                </c:pt>
                <c:pt idx="57">
                  <c:v>43938</c:v>
                </c:pt>
                <c:pt idx="58">
                  <c:v>43939</c:v>
                </c:pt>
                <c:pt idx="59">
                  <c:v>43940</c:v>
                </c:pt>
                <c:pt idx="60">
                  <c:v>43941</c:v>
                </c:pt>
                <c:pt idx="61">
                  <c:v>43942</c:v>
                </c:pt>
                <c:pt idx="62">
                  <c:v>43943</c:v>
                </c:pt>
                <c:pt idx="63">
                  <c:v>43944</c:v>
                </c:pt>
                <c:pt idx="64">
                  <c:v>43945</c:v>
                </c:pt>
                <c:pt idx="65">
                  <c:v>43946</c:v>
                </c:pt>
                <c:pt idx="66">
                  <c:v>43947</c:v>
                </c:pt>
                <c:pt idx="67">
                  <c:v>43948</c:v>
                </c:pt>
                <c:pt idx="68">
                  <c:v>43949</c:v>
                </c:pt>
                <c:pt idx="69">
                  <c:v>43950</c:v>
                </c:pt>
                <c:pt idx="70">
                  <c:v>43951</c:v>
                </c:pt>
              </c:numCache>
            </c:numRef>
          </c:cat>
          <c:val>
            <c:numRef>
              <c:f>'Figura 5'!$C$2:$C$72</c:f>
              <c:numCache>
                <c:formatCode>General</c:formatCode>
                <c:ptCount val="71"/>
                <c:pt idx="0">
                  <c:v>89.250184754000003</c:v>
                </c:pt>
                <c:pt idx="1">
                  <c:v>89.286710166999995</c:v>
                </c:pt>
                <c:pt idx="2">
                  <c:v>89.097785572999996</c:v>
                </c:pt>
                <c:pt idx="3">
                  <c:v>89.087579446000007</c:v>
                </c:pt>
                <c:pt idx="4">
                  <c:v>89.579912062000005</c:v>
                </c:pt>
                <c:pt idx="5">
                  <c:v>89.730236434000005</c:v>
                </c:pt>
                <c:pt idx="6">
                  <c:v>89.664875926999997</c:v>
                </c:pt>
                <c:pt idx="7">
                  <c:v>89.569503118</c:v>
                </c:pt>
                <c:pt idx="8">
                  <c:v>89.412811387999994</c:v>
                </c:pt>
                <c:pt idx="9">
                  <c:v>90.237415033000005</c:v>
                </c:pt>
                <c:pt idx="10">
                  <c:v>90.213178295000006</c:v>
                </c:pt>
                <c:pt idx="11">
                  <c:v>90.129573171000004</c:v>
                </c:pt>
                <c:pt idx="12">
                  <c:v>90.040288579000006</c:v>
                </c:pt>
                <c:pt idx="13">
                  <c:v>90.164692819999999</c:v>
                </c:pt>
                <c:pt idx="14">
                  <c:v>89.834138339999996</c:v>
                </c:pt>
                <c:pt idx="15">
                  <c:v>89.756819813000007</c:v>
                </c:pt>
                <c:pt idx="16">
                  <c:v>89.757197824000002</c:v>
                </c:pt>
                <c:pt idx="17">
                  <c:v>89.967665822000001</c:v>
                </c:pt>
                <c:pt idx="18">
                  <c:v>90.284063967999998</c:v>
                </c:pt>
                <c:pt idx="19">
                  <c:v>90.041652498999994</c:v>
                </c:pt>
                <c:pt idx="20">
                  <c:v>90.085176016000005</c:v>
                </c:pt>
                <c:pt idx="21">
                  <c:v>90.177534428000001</c:v>
                </c:pt>
                <c:pt idx="22">
                  <c:v>90.354040320999999</c:v>
                </c:pt>
                <c:pt idx="23">
                  <c:v>90.306411189000002</c:v>
                </c:pt>
                <c:pt idx="24">
                  <c:v>90.536542460000007</c:v>
                </c:pt>
                <c:pt idx="25">
                  <c:v>90.408525754999999</c:v>
                </c:pt>
                <c:pt idx="26">
                  <c:v>90.414750135999995</c:v>
                </c:pt>
                <c:pt idx="27">
                  <c:v>90.910844488999999</c:v>
                </c:pt>
                <c:pt idx="28">
                  <c:v>90.912556225000003</c:v>
                </c:pt>
                <c:pt idx="29">
                  <c:v>90.777284025</c:v>
                </c:pt>
                <c:pt idx="30">
                  <c:v>90.990353458000001</c:v>
                </c:pt>
                <c:pt idx="31">
                  <c:v>90.900714969999996</c:v>
                </c:pt>
                <c:pt idx="32">
                  <c:v>91.008571950000004</c:v>
                </c:pt>
                <c:pt idx="33">
                  <c:v>91.216094196</c:v>
                </c:pt>
                <c:pt idx="34">
                  <c:v>91.303571429000002</c:v>
                </c:pt>
                <c:pt idx="35">
                  <c:v>91.505000176999999</c:v>
                </c:pt>
                <c:pt idx="36">
                  <c:v>91.637228497999999</c:v>
                </c:pt>
                <c:pt idx="37">
                  <c:v>91.849801004</c:v>
                </c:pt>
                <c:pt idx="38">
                  <c:v>91.893002706000004</c:v>
                </c:pt>
                <c:pt idx="39">
                  <c:v>92.150344313000005</c:v>
                </c:pt>
                <c:pt idx="40">
                  <c:v>92.330452910000005</c:v>
                </c:pt>
                <c:pt idx="41">
                  <c:v>92.318710236000001</c:v>
                </c:pt>
                <c:pt idx="42">
                  <c:v>92.384848884999997</c:v>
                </c:pt>
                <c:pt idx="43">
                  <c:v>92.554477441000003</c:v>
                </c:pt>
                <c:pt idx="44">
                  <c:v>92.719090938999997</c:v>
                </c:pt>
                <c:pt idx="45">
                  <c:v>92.841558108000001</c:v>
                </c:pt>
                <c:pt idx="46">
                  <c:v>93.046547118999996</c:v>
                </c:pt>
                <c:pt idx="47">
                  <c:v>93.137563803999996</c:v>
                </c:pt>
                <c:pt idx="48">
                  <c:v>93.250249874999994</c:v>
                </c:pt>
                <c:pt idx="49">
                  <c:v>93.463586821999996</c:v>
                </c:pt>
                <c:pt idx="50">
                  <c:v>93.451778207000004</c:v>
                </c:pt>
                <c:pt idx="51">
                  <c:v>93.429813627000001</c:v>
                </c:pt>
                <c:pt idx="52">
                  <c:v>93.421330198999996</c:v>
                </c:pt>
                <c:pt idx="53">
                  <c:v>93.288931366</c:v>
                </c:pt>
                <c:pt idx="54">
                  <c:v>93.299381162000003</c:v>
                </c:pt>
                <c:pt idx="55">
                  <c:v>93.097677696000005</c:v>
                </c:pt>
                <c:pt idx="56">
                  <c:v>92.996505533000004</c:v>
                </c:pt>
                <c:pt idx="57">
                  <c:v>92.942704574999993</c:v>
                </c:pt>
                <c:pt idx="58">
                  <c:v>92.902745569999993</c:v>
                </c:pt>
                <c:pt idx="59">
                  <c:v>92.993214660999996</c:v>
                </c:pt>
                <c:pt idx="60">
                  <c:v>93.117922136000004</c:v>
                </c:pt>
                <c:pt idx="61">
                  <c:v>93.152176948999994</c:v>
                </c:pt>
                <c:pt idx="62">
                  <c:v>93.128841148999996</c:v>
                </c:pt>
                <c:pt idx="63">
                  <c:v>93.001563743000006</c:v>
                </c:pt>
                <c:pt idx="64">
                  <c:v>92.886881275999997</c:v>
                </c:pt>
                <c:pt idx="65">
                  <c:v>92.851550900000007</c:v>
                </c:pt>
                <c:pt idx="66">
                  <c:v>92.786955473999996</c:v>
                </c:pt>
                <c:pt idx="67">
                  <c:v>92.724034345999996</c:v>
                </c:pt>
                <c:pt idx="68">
                  <c:v>92.733746538000005</c:v>
                </c:pt>
                <c:pt idx="69">
                  <c:v>92.856581325999997</c:v>
                </c:pt>
                <c:pt idx="70">
                  <c:v>92.860488109000002</c:v>
                </c:pt>
              </c:numCache>
            </c:numRef>
          </c:val>
          <c:smooth val="0"/>
          <c:extLst xmlns:c16r2="http://schemas.microsoft.com/office/drawing/2015/06/chart">
            <c:ext xmlns:c16="http://schemas.microsoft.com/office/drawing/2014/chart" uri="{C3380CC4-5D6E-409C-BE32-E72D297353CC}">
              <c16:uniqueId val="{00000001-57CE-477F-8243-27A65504200A}"/>
            </c:ext>
          </c:extLst>
        </c:ser>
        <c:ser>
          <c:idx val="2"/>
          <c:order val="2"/>
          <c:tx>
            <c:strRef>
              <c:f>'Figura 5'!$D$1</c:f>
              <c:strCache>
                <c:ptCount val="1"/>
                <c:pt idx="0">
                  <c:v>70-79</c:v>
                </c:pt>
              </c:strCache>
            </c:strRef>
          </c:tx>
          <c:spPr>
            <a:ln w="25400" cap="rnd">
              <a:solidFill>
                <a:srgbClr val="00B0F0"/>
              </a:solidFill>
              <a:round/>
            </a:ln>
            <a:effectLst/>
          </c:spPr>
          <c:marker>
            <c:symbol val="none"/>
          </c:marker>
          <c:cat>
            <c:numRef>
              <c:f>'Figura 5'!$A$2:$A$72</c:f>
              <c:numCache>
                <c:formatCode>d\-mmm</c:formatCode>
                <c:ptCount val="71"/>
                <c:pt idx="0">
                  <c:v>43881</c:v>
                </c:pt>
                <c:pt idx="1">
                  <c:v>43882</c:v>
                </c:pt>
                <c:pt idx="2">
                  <c:v>43883</c:v>
                </c:pt>
                <c:pt idx="3">
                  <c:v>43884</c:v>
                </c:pt>
                <c:pt idx="4">
                  <c:v>43885</c:v>
                </c:pt>
                <c:pt idx="5">
                  <c:v>43886</c:v>
                </c:pt>
                <c:pt idx="6">
                  <c:v>43887</c:v>
                </c:pt>
                <c:pt idx="7">
                  <c:v>43888</c:v>
                </c:pt>
                <c:pt idx="8">
                  <c:v>43889</c:v>
                </c:pt>
                <c:pt idx="9">
                  <c:v>43890</c:v>
                </c:pt>
                <c:pt idx="10">
                  <c:v>43891</c:v>
                </c:pt>
                <c:pt idx="11">
                  <c:v>43892</c:v>
                </c:pt>
                <c:pt idx="12">
                  <c:v>43893</c:v>
                </c:pt>
                <c:pt idx="13">
                  <c:v>43894</c:v>
                </c:pt>
                <c:pt idx="14">
                  <c:v>43895</c:v>
                </c:pt>
                <c:pt idx="15">
                  <c:v>43896</c:v>
                </c:pt>
                <c:pt idx="16">
                  <c:v>43897</c:v>
                </c:pt>
                <c:pt idx="17">
                  <c:v>43898</c:v>
                </c:pt>
                <c:pt idx="18">
                  <c:v>43899</c:v>
                </c:pt>
                <c:pt idx="19">
                  <c:v>43900</c:v>
                </c:pt>
                <c:pt idx="20">
                  <c:v>43901</c:v>
                </c:pt>
                <c:pt idx="21">
                  <c:v>43902</c:v>
                </c:pt>
                <c:pt idx="22">
                  <c:v>43903</c:v>
                </c:pt>
                <c:pt idx="23">
                  <c:v>43904</c:v>
                </c:pt>
                <c:pt idx="24">
                  <c:v>43905</c:v>
                </c:pt>
                <c:pt idx="25">
                  <c:v>43906</c:v>
                </c:pt>
                <c:pt idx="26">
                  <c:v>43907</c:v>
                </c:pt>
                <c:pt idx="27">
                  <c:v>43908</c:v>
                </c:pt>
                <c:pt idx="28">
                  <c:v>43909</c:v>
                </c:pt>
                <c:pt idx="29">
                  <c:v>43910</c:v>
                </c:pt>
                <c:pt idx="30">
                  <c:v>43911</c:v>
                </c:pt>
                <c:pt idx="31">
                  <c:v>43912</c:v>
                </c:pt>
                <c:pt idx="32">
                  <c:v>43913</c:v>
                </c:pt>
                <c:pt idx="33">
                  <c:v>43914</c:v>
                </c:pt>
                <c:pt idx="34">
                  <c:v>43915</c:v>
                </c:pt>
                <c:pt idx="35">
                  <c:v>43916</c:v>
                </c:pt>
                <c:pt idx="36">
                  <c:v>43917</c:v>
                </c:pt>
                <c:pt idx="37">
                  <c:v>43918</c:v>
                </c:pt>
                <c:pt idx="38">
                  <c:v>43919</c:v>
                </c:pt>
                <c:pt idx="39">
                  <c:v>43920</c:v>
                </c:pt>
                <c:pt idx="40">
                  <c:v>43921</c:v>
                </c:pt>
                <c:pt idx="41">
                  <c:v>43922</c:v>
                </c:pt>
                <c:pt idx="42">
                  <c:v>43923</c:v>
                </c:pt>
                <c:pt idx="43">
                  <c:v>43924</c:v>
                </c:pt>
                <c:pt idx="44">
                  <c:v>43925</c:v>
                </c:pt>
                <c:pt idx="45">
                  <c:v>43926</c:v>
                </c:pt>
                <c:pt idx="46">
                  <c:v>43927</c:v>
                </c:pt>
                <c:pt idx="47">
                  <c:v>43928</c:v>
                </c:pt>
                <c:pt idx="48">
                  <c:v>43929</c:v>
                </c:pt>
                <c:pt idx="49">
                  <c:v>43930</c:v>
                </c:pt>
                <c:pt idx="50">
                  <c:v>43931</c:v>
                </c:pt>
                <c:pt idx="51">
                  <c:v>43932</c:v>
                </c:pt>
                <c:pt idx="52">
                  <c:v>43933</c:v>
                </c:pt>
                <c:pt idx="53">
                  <c:v>43934</c:v>
                </c:pt>
                <c:pt idx="54">
                  <c:v>43935</c:v>
                </c:pt>
                <c:pt idx="55">
                  <c:v>43936</c:v>
                </c:pt>
                <c:pt idx="56">
                  <c:v>43937</c:v>
                </c:pt>
                <c:pt idx="57">
                  <c:v>43938</c:v>
                </c:pt>
                <c:pt idx="58">
                  <c:v>43939</c:v>
                </c:pt>
                <c:pt idx="59">
                  <c:v>43940</c:v>
                </c:pt>
                <c:pt idx="60">
                  <c:v>43941</c:v>
                </c:pt>
                <c:pt idx="61">
                  <c:v>43942</c:v>
                </c:pt>
                <c:pt idx="62">
                  <c:v>43943</c:v>
                </c:pt>
                <c:pt idx="63">
                  <c:v>43944</c:v>
                </c:pt>
                <c:pt idx="64">
                  <c:v>43945</c:v>
                </c:pt>
                <c:pt idx="65">
                  <c:v>43946</c:v>
                </c:pt>
                <c:pt idx="66">
                  <c:v>43947</c:v>
                </c:pt>
                <c:pt idx="67">
                  <c:v>43948</c:v>
                </c:pt>
                <c:pt idx="68">
                  <c:v>43949</c:v>
                </c:pt>
                <c:pt idx="69">
                  <c:v>43950</c:v>
                </c:pt>
                <c:pt idx="70">
                  <c:v>43951</c:v>
                </c:pt>
              </c:numCache>
            </c:numRef>
          </c:cat>
          <c:val>
            <c:numRef>
              <c:f>'Figura 5'!$D$2:$D$72</c:f>
              <c:numCache>
                <c:formatCode>General</c:formatCode>
                <c:ptCount val="71"/>
                <c:pt idx="0">
                  <c:v>91.277587983000004</c:v>
                </c:pt>
                <c:pt idx="1">
                  <c:v>91.021680071999995</c:v>
                </c:pt>
                <c:pt idx="2">
                  <c:v>90.837716888000003</c:v>
                </c:pt>
                <c:pt idx="3">
                  <c:v>90.704840159</c:v>
                </c:pt>
                <c:pt idx="4">
                  <c:v>90.812720847999998</c:v>
                </c:pt>
                <c:pt idx="5">
                  <c:v>90.870730738999995</c:v>
                </c:pt>
                <c:pt idx="6">
                  <c:v>90.886903889999999</c:v>
                </c:pt>
                <c:pt idx="7">
                  <c:v>91.153846153999993</c:v>
                </c:pt>
                <c:pt idx="8">
                  <c:v>91.336943925</c:v>
                </c:pt>
                <c:pt idx="9">
                  <c:v>92.475934315000003</c:v>
                </c:pt>
                <c:pt idx="10">
                  <c:v>92.530165299000004</c:v>
                </c:pt>
                <c:pt idx="11">
                  <c:v>92.535810717999993</c:v>
                </c:pt>
                <c:pt idx="12">
                  <c:v>92.619294371999999</c:v>
                </c:pt>
                <c:pt idx="13">
                  <c:v>92.494784963000001</c:v>
                </c:pt>
                <c:pt idx="14">
                  <c:v>92.409132659999997</c:v>
                </c:pt>
                <c:pt idx="15">
                  <c:v>92.398328450999998</c:v>
                </c:pt>
                <c:pt idx="16">
                  <c:v>92.416004756999996</c:v>
                </c:pt>
                <c:pt idx="17">
                  <c:v>92.115175358000002</c:v>
                </c:pt>
                <c:pt idx="18">
                  <c:v>92.395680631000005</c:v>
                </c:pt>
                <c:pt idx="19">
                  <c:v>92.562033980999999</c:v>
                </c:pt>
                <c:pt idx="20">
                  <c:v>92.547883470000002</c:v>
                </c:pt>
                <c:pt idx="21">
                  <c:v>92.908758833999997</c:v>
                </c:pt>
                <c:pt idx="22">
                  <c:v>93.184938223000003</c:v>
                </c:pt>
                <c:pt idx="23">
                  <c:v>93.223460978999995</c:v>
                </c:pt>
                <c:pt idx="24">
                  <c:v>93.269857083000005</c:v>
                </c:pt>
                <c:pt idx="25">
                  <c:v>93.339010313000003</c:v>
                </c:pt>
                <c:pt idx="26">
                  <c:v>93.233181172000002</c:v>
                </c:pt>
                <c:pt idx="27">
                  <c:v>93.412487053999996</c:v>
                </c:pt>
                <c:pt idx="28">
                  <c:v>93.474765194</c:v>
                </c:pt>
                <c:pt idx="29">
                  <c:v>93.644488580000001</c:v>
                </c:pt>
                <c:pt idx="30">
                  <c:v>93.616755570999999</c:v>
                </c:pt>
                <c:pt idx="31">
                  <c:v>93.831627249999997</c:v>
                </c:pt>
                <c:pt idx="32">
                  <c:v>94.017168580000003</c:v>
                </c:pt>
                <c:pt idx="33">
                  <c:v>94.026682315000002</c:v>
                </c:pt>
                <c:pt idx="34">
                  <c:v>94.114632271000005</c:v>
                </c:pt>
                <c:pt idx="35">
                  <c:v>94.277546602000001</c:v>
                </c:pt>
                <c:pt idx="36">
                  <c:v>94.423331269000002</c:v>
                </c:pt>
                <c:pt idx="37">
                  <c:v>94.498617617999997</c:v>
                </c:pt>
                <c:pt idx="38">
                  <c:v>94.653309504999996</c:v>
                </c:pt>
                <c:pt idx="39">
                  <c:v>94.608399546000001</c:v>
                </c:pt>
                <c:pt idx="40">
                  <c:v>94.749939792999996</c:v>
                </c:pt>
                <c:pt idx="41">
                  <c:v>94.887203701000004</c:v>
                </c:pt>
                <c:pt idx="42">
                  <c:v>94.978354977999999</c:v>
                </c:pt>
                <c:pt idx="43">
                  <c:v>94.993531493000006</c:v>
                </c:pt>
                <c:pt idx="44">
                  <c:v>94.975301019</c:v>
                </c:pt>
                <c:pt idx="45">
                  <c:v>95.083346077000002</c:v>
                </c:pt>
                <c:pt idx="46">
                  <c:v>95.116888626000005</c:v>
                </c:pt>
                <c:pt idx="47">
                  <c:v>95.013659152000002</c:v>
                </c:pt>
                <c:pt idx="48">
                  <c:v>95.213644685000006</c:v>
                </c:pt>
                <c:pt idx="49">
                  <c:v>95.325254255000004</c:v>
                </c:pt>
                <c:pt idx="50">
                  <c:v>95.424368272999999</c:v>
                </c:pt>
                <c:pt idx="51">
                  <c:v>95.409945359999995</c:v>
                </c:pt>
                <c:pt idx="52">
                  <c:v>95.490925812</c:v>
                </c:pt>
                <c:pt idx="53">
                  <c:v>95.487843115000004</c:v>
                </c:pt>
                <c:pt idx="54">
                  <c:v>95.560077437000004</c:v>
                </c:pt>
                <c:pt idx="55">
                  <c:v>95.549206616000006</c:v>
                </c:pt>
                <c:pt idx="56">
                  <c:v>95.601617093000002</c:v>
                </c:pt>
                <c:pt idx="57">
                  <c:v>95.505617978000004</c:v>
                </c:pt>
                <c:pt idx="58">
                  <c:v>95.432790920000002</c:v>
                </c:pt>
                <c:pt idx="59">
                  <c:v>95.459663307</c:v>
                </c:pt>
                <c:pt idx="60">
                  <c:v>95.479381997999994</c:v>
                </c:pt>
                <c:pt idx="61">
                  <c:v>95.553863824999993</c:v>
                </c:pt>
                <c:pt idx="62">
                  <c:v>95.548489665999995</c:v>
                </c:pt>
                <c:pt idx="63">
                  <c:v>95.503549828999994</c:v>
                </c:pt>
                <c:pt idx="64">
                  <c:v>95.450217183999996</c:v>
                </c:pt>
                <c:pt idx="65">
                  <c:v>95.453014918999997</c:v>
                </c:pt>
                <c:pt idx="66">
                  <c:v>95.462724936000001</c:v>
                </c:pt>
                <c:pt idx="67">
                  <c:v>95.517738825999999</c:v>
                </c:pt>
                <c:pt idx="68">
                  <c:v>95.536234823000001</c:v>
                </c:pt>
                <c:pt idx="69">
                  <c:v>95.542803930999995</c:v>
                </c:pt>
                <c:pt idx="70">
                  <c:v>95.415365397000002</c:v>
                </c:pt>
              </c:numCache>
            </c:numRef>
          </c:val>
          <c:smooth val="0"/>
          <c:extLst xmlns:c16r2="http://schemas.microsoft.com/office/drawing/2015/06/chart">
            <c:ext xmlns:c16="http://schemas.microsoft.com/office/drawing/2014/chart" uri="{C3380CC4-5D6E-409C-BE32-E72D297353CC}">
              <c16:uniqueId val="{00000002-57CE-477F-8243-27A65504200A}"/>
            </c:ext>
          </c:extLst>
        </c:ser>
        <c:ser>
          <c:idx val="3"/>
          <c:order val="3"/>
          <c:tx>
            <c:strRef>
              <c:f>'Figura 5'!$E$1</c:f>
              <c:strCache>
                <c:ptCount val="1"/>
                <c:pt idx="0">
                  <c:v>80-89</c:v>
                </c:pt>
              </c:strCache>
            </c:strRef>
          </c:tx>
          <c:spPr>
            <a:ln w="25400" cap="rnd">
              <a:solidFill>
                <a:srgbClr val="92D050"/>
              </a:solidFill>
              <a:round/>
            </a:ln>
            <a:effectLst/>
          </c:spPr>
          <c:marker>
            <c:symbol val="none"/>
          </c:marker>
          <c:cat>
            <c:numRef>
              <c:f>'Figura 5'!$A$2:$A$72</c:f>
              <c:numCache>
                <c:formatCode>d\-mmm</c:formatCode>
                <c:ptCount val="71"/>
                <c:pt idx="0">
                  <c:v>43881</c:v>
                </c:pt>
                <c:pt idx="1">
                  <c:v>43882</c:v>
                </c:pt>
                <c:pt idx="2">
                  <c:v>43883</c:v>
                </c:pt>
                <c:pt idx="3">
                  <c:v>43884</c:v>
                </c:pt>
                <c:pt idx="4">
                  <c:v>43885</c:v>
                </c:pt>
                <c:pt idx="5">
                  <c:v>43886</c:v>
                </c:pt>
                <c:pt idx="6">
                  <c:v>43887</c:v>
                </c:pt>
                <c:pt idx="7">
                  <c:v>43888</c:v>
                </c:pt>
                <c:pt idx="8">
                  <c:v>43889</c:v>
                </c:pt>
                <c:pt idx="9">
                  <c:v>43890</c:v>
                </c:pt>
                <c:pt idx="10">
                  <c:v>43891</c:v>
                </c:pt>
                <c:pt idx="11">
                  <c:v>43892</c:v>
                </c:pt>
                <c:pt idx="12">
                  <c:v>43893</c:v>
                </c:pt>
                <c:pt idx="13">
                  <c:v>43894</c:v>
                </c:pt>
                <c:pt idx="14">
                  <c:v>43895</c:v>
                </c:pt>
                <c:pt idx="15">
                  <c:v>43896</c:v>
                </c:pt>
                <c:pt idx="16">
                  <c:v>43897</c:v>
                </c:pt>
                <c:pt idx="17">
                  <c:v>43898</c:v>
                </c:pt>
                <c:pt idx="18">
                  <c:v>43899</c:v>
                </c:pt>
                <c:pt idx="19">
                  <c:v>43900</c:v>
                </c:pt>
                <c:pt idx="20">
                  <c:v>43901</c:v>
                </c:pt>
                <c:pt idx="21">
                  <c:v>43902</c:v>
                </c:pt>
                <c:pt idx="22">
                  <c:v>43903</c:v>
                </c:pt>
                <c:pt idx="23">
                  <c:v>43904</c:v>
                </c:pt>
                <c:pt idx="24">
                  <c:v>43905</c:v>
                </c:pt>
                <c:pt idx="25">
                  <c:v>43906</c:v>
                </c:pt>
                <c:pt idx="26">
                  <c:v>43907</c:v>
                </c:pt>
                <c:pt idx="27">
                  <c:v>43908</c:v>
                </c:pt>
                <c:pt idx="28">
                  <c:v>43909</c:v>
                </c:pt>
                <c:pt idx="29">
                  <c:v>43910</c:v>
                </c:pt>
                <c:pt idx="30">
                  <c:v>43911</c:v>
                </c:pt>
                <c:pt idx="31">
                  <c:v>43912</c:v>
                </c:pt>
                <c:pt idx="32">
                  <c:v>43913</c:v>
                </c:pt>
                <c:pt idx="33">
                  <c:v>43914</c:v>
                </c:pt>
                <c:pt idx="34">
                  <c:v>43915</c:v>
                </c:pt>
                <c:pt idx="35">
                  <c:v>43916</c:v>
                </c:pt>
                <c:pt idx="36">
                  <c:v>43917</c:v>
                </c:pt>
                <c:pt idx="37">
                  <c:v>43918</c:v>
                </c:pt>
                <c:pt idx="38">
                  <c:v>43919</c:v>
                </c:pt>
                <c:pt idx="39">
                  <c:v>43920</c:v>
                </c:pt>
                <c:pt idx="40">
                  <c:v>43921</c:v>
                </c:pt>
                <c:pt idx="41">
                  <c:v>43922</c:v>
                </c:pt>
                <c:pt idx="42">
                  <c:v>43923</c:v>
                </c:pt>
                <c:pt idx="43">
                  <c:v>43924</c:v>
                </c:pt>
                <c:pt idx="44">
                  <c:v>43925</c:v>
                </c:pt>
                <c:pt idx="45">
                  <c:v>43926</c:v>
                </c:pt>
                <c:pt idx="46">
                  <c:v>43927</c:v>
                </c:pt>
                <c:pt idx="47">
                  <c:v>43928</c:v>
                </c:pt>
                <c:pt idx="48">
                  <c:v>43929</c:v>
                </c:pt>
                <c:pt idx="49">
                  <c:v>43930</c:v>
                </c:pt>
                <c:pt idx="50">
                  <c:v>43931</c:v>
                </c:pt>
                <c:pt idx="51">
                  <c:v>43932</c:v>
                </c:pt>
                <c:pt idx="52">
                  <c:v>43933</c:v>
                </c:pt>
                <c:pt idx="53">
                  <c:v>43934</c:v>
                </c:pt>
                <c:pt idx="54">
                  <c:v>43935</c:v>
                </c:pt>
                <c:pt idx="55">
                  <c:v>43936</c:v>
                </c:pt>
                <c:pt idx="56">
                  <c:v>43937</c:v>
                </c:pt>
                <c:pt idx="57">
                  <c:v>43938</c:v>
                </c:pt>
                <c:pt idx="58">
                  <c:v>43939</c:v>
                </c:pt>
                <c:pt idx="59">
                  <c:v>43940</c:v>
                </c:pt>
                <c:pt idx="60">
                  <c:v>43941</c:v>
                </c:pt>
                <c:pt idx="61">
                  <c:v>43942</c:v>
                </c:pt>
                <c:pt idx="62">
                  <c:v>43943</c:v>
                </c:pt>
                <c:pt idx="63">
                  <c:v>43944</c:v>
                </c:pt>
                <c:pt idx="64">
                  <c:v>43945</c:v>
                </c:pt>
                <c:pt idx="65">
                  <c:v>43946</c:v>
                </c:pt>
                <c:pt idx="66">
                  <c:v>43947</c:v>
                </c:pt>
                <c:pt idx="67">
                  <c:v>43948</c:v>
                </c:pt>
                <c:pt idx="68">
                  <c:v>43949</c:v>
                </c:pt>
                <c:pt idx="69">
                  <c:v>43950</c:v>
                </c:pt>
                <c:pt idx="70">
                  <c:v>43951</c:v>
                </c:pt>
              </c:numCache>
            </c:numRef>
          </c:cat>
          <c:val>
            <c:numRef>
              <c:f>'Figura 5'!$E$2:$E$72</c:f>
              <c:numCache>
                <c:formatCode>General</c:formatCode>
                <c:ptCount val="71"/>
                <c:pt idx="0">
                  <c:v>89.524104266999998</c:v>
                </c:pt>
                <c:pt idx="1">
                  <c:v>89.437913553000001</c:v>
                </c:pt>
                <c:pt idx="2">
                  <c:v>89.459037534999993</c:v>
                </c:pt>
                <c:pt idx="3">
                  <c:v>89.343595352999998</c:v>
                </c:pt>
                <c:pt idx="4">
                  <c:v>89.535996643999994</c:v>
                </c:pt>
                <c:pt idx="5">
                  <c:v>89.805887811999995</c:v>
                </c:pt>
                <c:pt idx="6">
                  <c:v>89.772525549999997</c:v>
                </c:pt>
                <c:pt idx="7">
                  <c:v>89.601038274000004</c:v>
                </c:pt>
                <c:pt idx="8">
                  <c:v>89.588095062999997</c:v>
                </c:pt>
                <c:pt idx="9">
                  <c:v>90.719109661999994</c:v>
                </c:pt>
                <c:pt idx="10">
                  <c:v>90.681544028999994</c:v>
                </c:pt>
                <c:pt idx="11">
                  <c:v>90.777858305999999</c:v>
                </c:pt>
                <c:pt idx="12">
                  <c:v>90.884640121999993</c:v>
                </c:pt>
                <c:pt idx="13">
                  <c:v>90.824768401</c:v>
                </c:pt>
                <c:pt idx="14">
                  <c:v>90.828083319000001</c:v>
                </c:pt>
                <c:pt idx="15">
                  <c:v>90.857712022000001</c:v>
                </c:pt>
                <c:pt idx="16">
                  <c:v>90.926657980000002</c:v>
                </c:pt>
                <c:pt idx="17">
                  <c:v>90.972986520999996</c:v>
                </c:pt>
                <c:pt idx="18">
                  <c:v>91.219485965999993</c:v>
                </c:pt>
                <c:pt idx="19">
                  <c:v>91.252413383000004</c:v>
                </c:pt>
                <c:pt idx="20">
                  <c:v>91.229722658</c:v>
                </c:pt>
                <c:pt idx="21">
                  <c:v>91.385403964000005</c:v>
                </c:pt>
                <c:pt idx="22">
                  <c:v>91.578754055999994</c:v>
                </c:pt>
                <c:pt idx="23">
                  <c:v>91.691179433000002</c:v>
                </c:pt>
                <c:pt idx="24">
                  <c:v>91.806166524000005</c:v>
                </c:pt>
                <c:pt idx="25">
                  <c:v>91.889526020000005</c:v>
                </c:pt>
                <c:pt idx="26">
                  <c:v>91.925767586000006</c:v>
                </c:pt>
                <c:pt idx="27">
                  <c:v>92.049787271</c:v>
                </c:pt>
                <c:pt idx="28">
                  <c:v>92.107888310999996</c:v>
                </c:pt>
                <c:pt idx="29">
                  <c:v>92.106993256999999</c:v>
                </c:pt>
                <c:pt idx="30">
                  <c:v>92.231160819999999</c:v>
                </c:pt>
                <c:pt idx="31">
                  <c:v>92.206659013000007</c:v>
                </c:pt>
                <c:pt idx="32">
                  <c:v>92.311606186000006</c:v>
                </c:pt>
                <c:pt idx="33">
                  <c:v>92.358033458999998</c:v>
                </c:pt>
                <c:pt idx="34">
                  <c:v>92.510425651000006</c:v>
                </c:pt>
                <c:pt idx="35">
                  <c:v>92.724967867999993</c:v>
                </c:pt>
                <c:pt idx="36">
                  <c:v>92.902461130999995</c:v>
                </c:pt>
                <c:pt idx="37">
                  <c:v>93.018239546999993</c:v>
                </c:pt>
                <c:pt idx="38">
                  <c:v>93.132691667000003</c:v>
                </c:pt>
                <c:pt idx="39">
                  <c:v>93.312584047000001</c:v>
                </c:pt>
                <c:pt idx="40">
                  <c:v>93.398446989000007</c:v>
                </c:pt>
                <c:pt idx="41">
                  <c:v>93.479089658000007</c:v>
                </c:pt>
                <c:pt idx="42">
                  <c:v>93.478118125999998</c:v>
                </c:pt>
                <c:pt idx="43">
                  <c:v>93.528073453999994</c:v>
                </c:pt>
                <c:pt idx="44">
                  <c:v>93.663412590999997</c:v>
                </c:pt>
                <c:pt idx="45">
                  <c:v>93.838071743</c:v>
                </c:pt>
                <c:pt idx="46">
                  <c:v>93.935654334000006</c:v>
                </c:pt>
                <c:pt idx="47">
                  <c:v>94.043026939000001</c:v>
                </c:pt>
                <c:pt idx="48">
                  <c:v>94.082573443000001</c:v>
                </c:pt>
                <c:pt idx="49">
                  <c:v>94.182398421000002</c:v>
                </c:pt>
                <c:pt idx="50">
                  <c:v>94.276390204999998</c:v>
                </c:pt>
                <c:pt idx="51">
                  <c:v>94.456700553999994</c:v>
                </c:pt>
                <c:pt idx="52">
                  <c:v>94.412215575999994</c:v>
                </c:pt>
                <c:pt idx="53">
                  <c:v>94.577971938999994</c:v>
                </c:pt>
                <c:pt idx="54">
                  <c:v>94.573815331999995</c:v>
                </c:pt>
                <c:pt idx="55">
                  <c:v>94.591621192999995</c:v>
                </c:pt>
                <c:pt idx="56">
                  <c:v>94.541101820999998</c:v>
                </c:pt>
                <c:pt idx="57">
                  <c:v>94.504931193999994</c:v>
                </c:pt>
                <c:pt idx="58">
                  <c:v>94.617054351999997</c:v>
                </c:pt>
                <c:pt idx="59">
                  <c:v>94.593153839999999</c:v>
                </c:pt>
                <c:pt idx="60">
                  <c:v>94.633774699</c:v>
                </c:pt>
                <c:pt idx="61">
                  <c:v>94.657594657999994</c:v>
                </c:pt>
                <c:pt idx="62">
                  <c:v>94.662673458</c:v>
                </c:pt>
                <c:pt idx="63">
                  <c:v>94.628424042999995</c:v>
                </c:pt>
                <c:pt idx="64">
                  <c:v>94.628543265000005</c:v>
                </c:pt>
                <c:pt idx="65">
                  <c:v>94.531048260999995</c:v>
                </c:pt>
                <c:pt idx="66">
                  <c:v>94.429269938000004</c:v>
                </c:pt>
                <c:pt idx="67">
                  <c:v>94.411563852</c:v>
                </c:pt>
                <c:pt idx="68">
                  <c:v>94.329465247000002</c:v>
                </c:pt>
                <c:pt idx="69">
                  <c:v>94.298781090999995</c:v>
                </c:pt>
                <c:pt idx="70">
                  <c:v>94.236734587000001</c:v>
                </c:pt>
              </c:numCache>
            </c:numRef>
          </c:val>
          <c:smooth val="0"/>
          <c:extLst xmlns:c16r2="http://schemas.microsoft.com/office/drawing/2015/06/chart">
            <c:ext xmlns:c16="http://schemas.microsoft.com/office/drawing/2014/chart" uri="{C3380CC4-5D6E-409C-BE32-E72D297353CC}">
              <c16:uniqueId val="{00000003-57CE-477F-8243-27A65504200A}"/>
            </c:ext>
          </c:extLst>
        </c:ser>
        <c:ser>
          <c:idx val="4"/>
          <c:order val="4"/>
          <c:tx>
            <c:strRef>
              <c:f>'Figura 5'!$F$1</c:f>
              <c:strCache>
                <c:ptCount val="1"/>
                <c:pt idx="0">
                  <c:v>90+</c:v>
                </c:pt>
              </c:strCache>
            </c:strRef>
          </c:tx>
          <c:spPr>
            <a:ln w="25400" cap="rnd">
              <a:solidFill>
                <a:srgbClr val="FF0000"/>
              </a:solidFill>
              <a:round/>
            </a:ln>
            <a:effectLst/>
          </c:spPr>
          <c:marker>
            <c:symbol val="none"/>
          </c:marker>
          <c:cat>
            <c:numRef>
              <c:f>'Figura 5'!$A$2:$A$72</c:f>
              <c:numCache>
                <c:formatCode>d\-mmm</c:formatCode>
                <c:ptCount val="71"/>
                <c:pt idx="0">
                  <c:v>43881</c:v>
                </c:pt>
                <c:pt idx="1">
                  <c:v>43882</c:v>
                </c:pt>
                <c:pt idx="2">
                  <c:v>43883</c:v>
                </c:pt>
                <c:pt idx="3">
                  <c:v>43884</c:v>
                </c:pt>
                <c:pt idx="4">
                  <c:v>43885</c:v>
                </c:pt>
                <c:pt idx="5">
                  <c:v>43886</c:v>
                </c:pt>
                <c:pt idx="6">
                  <c:v>43887</c:v>
                </c:pt>
                <c:pt idx="7">
                  <c:v>43888</c:v>
                </c:pt>
                <c:pt idx="8">
                  <c:v>43889</c:v>
                </c:pt>
                <c:pt idx="9">
                  <c:v>43890</c:v>
                </c:pt>
                <c:pt idx="10">
                  <c:v>43891</c:v>
                </c:pt>
                <c:pt idx="11">
                  <c:v>43892</c:v>
                </c:pt>
                <c:pt idx="12">
                  <c:v>43893</c:v>
                </c:pt>
                <c:pt idx="13">
                  <c:v>43894</c:v>
                </c:pt>
                <c:pt idx="14">
                  <c:v>43895</c:v>
                </c:pt>
                <c:pt idx="15">
                  <c:v>43896</c:v>
                </c:pt>
                <c:pt idx="16">
                  <c:v>43897</c:v>
                </c:pt>
                <c:pt idx="17">
                  <c:v>43898</c:v>
                </c:pt>
                <c:pt idx="18">
                  <c:v>43899</c:v>
                </c:pt>
                <c:pt idx="19">
                  <c:v>43900</c:v>
                </c:pt>
                <c:pt idx="20">
                  <c:v>43901</c:v>
                </c:pt>
                <c:pt idx="21">
                  <c:v>43902</c:v>
                </c:pt>
                <c:pt idx="22">
                  <c:v>43903</c:v>
                </c:pt>
                <c:pt idx="23">
                  <c:v>43904</c:v>
                </c:pt>
                <c:pt idx="24">
                  <c:v>43905</c:v>
                </c:pt>
                <c:pt idx="25">
                  <c:v>43906</c:v>
                </c:pt>
                <c:pt idx="26">
                  <c:v>43907</c:v>
                </c:pt>
                <c:pt idx="27">
                  <c:v>43908</c:v>
                </c:pt>
                <c:pt idx="28">
                  <c:v>43909</c:v>
                </c:pt>
                <c:pt idx="29">
                  <c:v>43910</c:v>
                </c:pt>
                <c:pt idx="30">
                  <c:v>43911</c:v>
                </c:pt>
                <c:pt idx="31">
                  <c:v>43912</c:v>
                </c:pt>
                <c:pt idx="32">
                  <c:v>43913</c:v>
                </c:pt>
                <c:pt idx="33">
                  <c:v>43914</c:v>
                </c:pt>
                <c:pt idx="34">
                  <c:v>43915</c:v>
                </c:pt>
                <c:pt idx="35">
                  <c:v>43916</c:v>
                </c:pt>
                <c:pt idx="36">
                  <c:v>43917</c:v>
                </c:pt>
                <c:pt idx="37">
                  <c:v>43918</c:v>
                </c:pt>
                <c:pt idx="38">
                  <c:v>43919</c:v>
                </c:pt>
                <c:pt idx="39">
                  <c:v>43920</c:v>
                </c:pt>
                <c:pt idx="40">
                  <c:v>43921</c:v>
                </c:pt>
                <c:pt idx="41">
                  <c:v>43922</c:v>
                </c:pt>
                <c:pt idx="42">
                  <c:v>43923</c:v>
                </c:pt>
                <c:pt idx="43">
                  <c:v>43924</c:v>
                </c:pt>
                <c:pt idx="44">
                  <c:v>43925</c:v>
                </c:pt>
                <c:pt idx="45">
                  <c:v>43926</c:v>
                </c:pt>
                <c:pt idx="46">
                  <c:v>43927</c:v>
                </c:pt>
                <c:pt idx="47">
                  <c:v>43928</c:v>
                </c:pt>
                <c:pt idx="48">
                  <c:v>43929</c:v>
                </c:pt>
                <c:pt idx="49">
                  <c:v>43930</c:v>
                </c:pt>
                <c:pt idx="50">
                  <c:v>43931</c:v>
                </c:pt>
                <c:pt idx="51">
                  <c:v>43932</c:v>
                </c:pt>
                <c:pt idx="52">
                  <c:v>43933</c:v>
                </c:pt>
                <c:pt idx="53">
                  <c:v>43934</c:v>
                </c:pt>
                <c:pt idx="54">
                  <c:v>43935</c:v>
                </c:pt>
                <c:pt idx="55">
                  <c:v>43936</c:v>
                </c:pt>
                <c:pt idx="56">
                  <c:v>43937</c:v>
                </c:pt>
                <c:pt idx="57">
                  <c:v>43938</c:v>
                </c:pt>
                <c:pt idx="58">
                  <c:v>43939</c:v>
                </c:pt>
                <c:pt idx="59">
                  <c:v>43940</c:v>
                </c:pt>
                <c:pt idx="60">
                  <c:v>43941</c:v>
                </c:pt>
                <c:pt idx="61">
                  <c:v>43942</c:v>
                </c:pt>
                <c:pt idx="62">
                  <c:v>43943</c:v>
                </c:pt>
                <c:pt idx="63">
                  <c:v>43944</c:v>
                </c:pt>
                <c:pt idx="64">
                  <c:v>43945</c:v>
                </c:pt>
                <c:pt idx="65">
                  <c:v>43946</c:v>
                </c:pt>
                <c:pt idx="66">
                  <c:v>43947</c:v>
                </c:pt>
                <c:pt idx="67">
                  <c:v>43948</c:v>
                </c:pt>
                <c:pt idx="68">
                  <c:v>43949</c:v>
                </c:pt>
                <c:pt idx="69">
                  <c:v>43950</c:v>
                </c:pt>
                <c:pt idx="70">
                  <c:v>43951</c:v>
                </c:pt>
              </c:numCache>
            </c:numRef>
          </c:cat>
          <c:val>
            <c:numRef>
              <c:f>'Figura 5'!$F$2:$F$72</c:f>
              <c:numCache>
                <c:formatCode>General</c:formatCode>
                <c:ptCount val="71"/>
                <c:pt idx="0">
                  <c:v>97.224254841999993</c:v>
                </c:pt>
                <c:pt idx="1">
                  <c:v>97.484653750000007</c:v>
                </c:pt>
                <c:pt idx="2">
                  <c:v>97.633066415000002</c:v>
                </c:pt>
                <c:pt idx="3">
                  <c:v>97.431026893999999</c:v>
                </c:pt>
                <c:pt idx="4">
                  <c:v>97.768610111000001</c:v>
                </c:pt>
                <c:pt idx="5">
                  <c:v>97.965774776999993</c:v>
                </c:pt>
                <c:pt idx="6">
                  <c:v>97.978638891000003</c:v>
                </c:pt>
                <c:pt idx="7">
                  <c:v>98.058822250999995</c:v>
                </c:pt>
                <c:pt idx="8">
                  <c:v>98.048655241000006</c:v>
                </c:pt>
                <c:pt idx="9">
                  <c:v>99.372518888000002</c:v>
                </c:pt>
                <c:pt idx="10">
                  <c:v>99.625995419000006</c:v>
                </c:pt>
                <c:pt idx="11">
                  <c:v>99.606910107000004</c:v>
                </c:pt>
                <c:pt idx="12">
                  <c:v>99.710629279000003</c:v>
                </c:pt>
                <c:pt idx="13">
                  <c:v>99.578693951000005</c:v>
                </c:pt>
                <c:pt idx="14">
                  <c:v>99.568939947999993</c:v>
                </c:pt>
                <c:pt idx="15">
                  <c:v>99.547643652000005</c:v>
                </c:pt>
                <c:pt idx="16">
                  <c:v>99.563310376999993</c:v>
                </c:pt>
                <c:pt idx="17">
                  <c:v>99.535236650000002</c:v>
                </c:pt>
                <c:pt idx="18">
                  <c:v>99.608533593000004</c:v>
                </c:pt>
                <c:pt idx="19">
                  <c:v>99.694670614000003</c:v>
                </c:pt>
                <c:pt idx="20">
                  <c:v>99.791719955000005</c:v>
                </c:pt>
                <c:pt idx="21">
                  <c:v>99.962121894999996</c:v>
                </c:pt>
                <c:pt idx="22">
                  <c:v>100.20320493</c:v>
                </c:pt>
                <c:pt idx="23">
                  <c:v>100.53059282</c:v>
                </c:pt>
                <c:pt idx="24">
                  <c:v>100.68809337</c:v>
                </c:pt>
                <c:pt idx="25">
                  <c:v>100.62492468000001</c:v>
                </c:pt>
                <c:pt idx="26">
                  <c:v>100.57344132999999</c:v>
                </c:pt>
                <c:pt idx="27">
                  <c:v>100.58002689999999</c:v>
                </c:pt>
                <c:pt idx="28">
                  <c:v>100.46538685</c:v>
                </c:pt>
                <c:pt idx="29">
                  <c:v>100.62148565</c:v>
                </c:pt>
                <c:pt idx="30">
                  <c:v>100.87191333</c:v>
                </c:pt>
                <c:pt idx="31">
                  <c:v>101.02381947000001</c:v>
                </c:pt>
                <c:pt idx="32">
                  <c:v>101.13235154</c:v>
                </c:pt>
                <c:pt idx="33">
                  <c:v>101.24978357000001</c:v>
                </c:pt>
                <c:pt idx="34">
                  <c:v>101.37893425</c:v>
                </c:pt>
                <c:pt idx="35">
                  <c:v>101.55670867000001</c:v>
                </c:pt>
                <c:pt idx="36">
                  <c:v>101.79082108999999</c:v>
                </c:pt>
                <c:pt idx="37">
                  <c:v>101.88004666</c:v>
                </c:pt>
                <c:pt idx="38">
                  <c:v>102.02427935</c:v>
                </c:pt>
                <c:pt idx="39">
                  <c:v>102.38626227</c:v>
                </c:pt>
                <c:pt idx="40">
                  <c:v>102.37902335</c:v>
                </c:pt>
                <c:pt idx="41">
                  <c:v>102.37747958</c:v>
                </c:pt>
                <c:pt idx="42">
                  <c:v>102.56076765</c:v>
                </c:pt>
                <c:pt idx="43">
                  <c:v>102.71717345</c:v>
                </c:pt>
                <c:pt idx="44">
                  <c:v>102.85499411000001</c:v>
                </c:pt>
                <c:pt idx="45">
                  <c:v>102.97508577000001</c:v>
                </c:pt>
                <c:pt idx="46">
                  <c:v>103.16818429</c:v>
                </c:pt>
                <c:pt idx="47">
                  <c:v>103.11700878000001</c:v>
                </c:pt>
                <c:pt idx="48">
                  <c:v>103.15818319</c:v>
                </c:pt>
                <c:pt idx="49">
                  <c:v>103.40822647</c:v>
                </c:pt>
                <c:pt idx="50">
                  <c:v>103.48915533</c:v>
                </c:pt>
                <c:pt idx="51">
                  <c:v>103.45334117</c:v>
                </c:pt>
                <c:pt idx="52">
                  <c:v>103.46221115</c:v>
                </c:pt>
                <c:pt idx="53">
                  <c:v>103.43899011000001</c:v>
                </c:pt>
                <c:pt idx="54">
                  <c:v>103.41077801</c:v>
                </c:pt>
                <c:pt idx="55">
                  <c:v>103.39815234</c:v>
                </c:pt>
                <c:pt idx="56">
                  <c:v>103.49291803</c:v>
                </c:pt>
                <c:pt idx="57">
                  <c:v>103.59186268000001</c:v>
                </c:pt>
                <c:pt idx="58">
                  <c:v>103.6036036</c:v>
                </c:pt>
                <c:pt idx="59">
                  <c:v>103.54948122</c:v>
                </c:pt>
                <c:pt idx="60">
                  <c:v>103.60679364000001</c:v>
                </c:pt>
                <c:pt idx="61">
                  <c:v>103.63521982</c:v>
                </c:pt>
                <c:pt idx="62">
                  <c:v>103.51775412000001</c:v>
                </c:pt>
                <c:pt idx="63">
                  <c:v>103.4388414</c:v>
                </c:pt>
                <c:pt idx="64">
                  <c:v>103.43286467</c:v>
                </c:pt>
                <c:pt idx="65">
                  <c:v>103.40877742000001</c:v>
                </c:pt>
                <c:pt idx="66">
                  <c:v>103.47906844000001</c:v>
                </c:pt>
                <c:pt idx="67">
                  <c:v>103.41995486</c:v>
                </c:pt>
                <c:pt idx="68">
                  <c:v>103.34858081</c:v>
                </c:pt>
                <c:pt idx="69">
                  <c:v>103.31550927000001</c:v>
                </c:pt>
                <c:pt idx="70">
                  <c:v>103.28068044</c:v>
                </c:pt>
              </c:numCache>
            </c:numRef>
          </c:val>
          <c:smooth val="0"/>
          <c:extLst xmlns:c16r2="http://schemas.microsoft.com/office/drawing/2015/06/chart">
            <c:ext xmlns:c16="http://schemas.microsoft.com/office/drawing/2014/chart" uri="{C3380CC4-5D6E-409C-BE32-E72D297353CC}">
              <c16:uniqueId val="{00000004-57CE-477F-8243-27A65504200A}"/>
            </c:ext>
          </c:extLst>
        </c:ser>
        <c:ser>
          <c:idx val="5"/>
          <c:order val="5"/>
          <c:spPr>
            <a:ln w="25400" cap="rnd">
              <a:solidFill>
                <a:schemeClr val="tx1"/>
              </a:solidFill>
              <a:round/>
            </a:ln>
            <a:effectLst/>
          </c:spPr>
          <c:marker>
            <c:symbol val="none"/>
          </c:marker>
          <c:cat>
            <c:numRef>
              <c:f>'Figura 5'!$A$2:$A$72</c:f>
              <c:numCache>
                <c:formatCode>d\-mmm</c:formatCode>
                <c:ptCount val="71"/>
                <c:pt idx="0">
                  <c:v>43881</c:v>
                </c:pt>
                <c:pt idx="1">
                  <c:v>43882</c:v>
                </c:pt>
                <c:pt idx="2">
                  <c:v>43883</c:v>
                </c:pt>
                <c:pt idx="3">
                  <c:v>43884</c:v>
                </c:pt>
                <c:pt idx="4">
                  <c:v>43885</c:v>
                </c:pt>
                <c:pt idx="5">
                  <c:v>43886</c:v>
                </c:pt>
                <c:pt idx="6">
                  <c:v>43887</c:v>
                </c:pt>
                <c:pt idx="7">
                  <c:v>43888</c:v>
                </c:pt>
                <c:pt idx="8">
                  <c:v>43889</c:v>
                </c:pt>
                <c:pt idx="9">
                  <c:v>43890</c:v>
                </c:pt>
                <c:pt idx="10">
                  <c:v>43891</c:v>
                </c:pt>
                <c:pt idx="11">
                  <c:v>43892</c:v>
                </c:pt>
                <c:pt idx="12">
                  <c:v>43893</c:v>
                </c:pt>
                <c:pt idx="13">
                  <c:v>43894</c:v>
                </c:pt>
                <c:pt idx="14">
                  <c:v>43895</c:v>
                </c:pt>
                <c:pt idx="15">
                  <c:v>43896</c:v>
                </c:pt>
                <c:pt idx="16">
                  <c:v>43897</c:v>
                </c:pt>
                <c:pt idx="17">
                  <c:v>43898</c:v>
                </c:pt>
                <c:pt idx="18">
                  <c:v>43899</c:v>
                </c:pt>
                <c:pt idx="19">
                  <c:v>43900</c:v>
                </c:pt>
                <c:pt idx="20">
                  <c:v>43901</c:v>
                </c:pt>
                <c:pt idx="21">
                  <c:v>43902</c:v>
                </c:pt>
                <c:pt idx="22">
                  <c:v>43903</c:v>
                </c:pt>
                <c:pt idx="23">
                  <c:v>43904</c:v>
                </c:pt>
                <c:pt idx="24">
                  <c:v>43905</c:v>
                </c:pt>
                <c:pt idx="25">
                  <c:v>43906</c:v>
                </c:pt>
                <c:pt idx="26">
                  <c:v>43907</c:v>
                </c:pt>
                <c:pt idx="27">
                  <c:v>43908</c:v>
                </c:pt>
                <c:pt idx="28">
                  <c:v>43909</c:v>
                </c:pt>
                <c:pt idx="29">
                  <c:v>43910</c:v>
                </c:pt>
                <c:pt idx="30">
                  <c:v>43911</c:v>
                </c:pt>
                <c:pt idx="31">
                  <c:v>43912</c:v>
                </c:pt>
                <c:pt idx="32">
                  <c:v>43913</c:v>
                </c:pt>
                <c:pt idx="33">
                  <c:v>43914</c:v>
                </c:pt>
                <c:pt idx="34">
                  <c:v>43915</c:v>
                </c:pt>
                <c:pt idx="35">
                  <c:v>43916</c:v>
                </c:pt>
                <c:pt idx="36">
                  <c:v>43917</c:v>
                </c:pt>
                <c:pt idx="37">
                  <c:v>43918</c:v>
                </c:pt>
                <c:pt idx="38">
                  <c:v>43919</c:v>
                </c:pt>
                <c:pt idx="39">
                  <c:v>43920</c:v>
                </c:pt>
                <c:pt idx="40">
                  <c:v>43921</c:v>
                </c:pt>
                <c:pt idx="41">
                  <c:v>43922</c:v>
                </c:pt>
                <c:pt idx="42">
                  <c:v>43923</c:v>
                </c:pt>
                <c:pt idx="43">
                  <c:v>43924</c:v>
                </c:pt>
                <c:pt idx="44">
                  <c:v>43925</c:v>
                </c:pt>
                <c:pt idx="45">
                  <c:v>43926</c:v>
                </c:pt>
                <c:pt idx="46">
                  <c:v>43927</c:v>
                </c:pt>
                <c:pt idx="47">
                  <c:v>43928</c:v>
                </c:pt>
                <c:pt idx="48">
                  <c:v>43929</c:v>
                </c:pt>
                <c:pt idx="49">
                  <c:v>43930</c:v>
                </c:pt>
                <c:pt idx="50">
                  <c:v>43931</c:v>
                </c:pt>
                <c:pt idx="51">
                  <c:v>43932</c:v>
                </c:pt>
                <c:pt idx="52">
                  <c:v>43933</c:v>
                </c:pt>
                <c:pt idx="53">
                  <c:v>43934</c:v>
                </c:pt>
                <c:pt idx="54">
                  <c:v>43935</c:v>
                </c:pt>
                <c:pt idx="55">
                  <c:v>43936</c:v>
                </c:pt>
                <c:pt idx="56">
                  <c:v>43937</c:v>
                </c:pt>
                <c:pt idx="57">
                  <c:v>43938</c:v>
                </c:pt>
                <c:pt idx="58">
                  <c:v>43939</c:v>
                </c:pt>
                <c:pt idx="59">
                  <c:v>43940</c:v>
                </c:pt>
                <c:pt idx="60">
                  <c:v>43941</c:v>
                </c:pt>
                <c:pt idx="61">
                  <c:v>43942</c:v>
                </c:pt>
                <c:pt idx="62">
                  <c:v>43943</c:v>
                </c:pt>
                <c:pt idx="63">
                  <c:v>43944</c:v>
                </c:pt>
                <c:pt idx="64">
                  <c:v>43945</c:v>
                </c:pt>
                <c:pt idx="65">
                  <c:v>43946</c:v>
                </c:pt>
                <c:pt idx="66">
                  <c:v>43947</c:v>
                </c:pt>
                <c:pt idx="67">
                  <c:v>43948</c:v>
                </c:pt>
                <c:pt idx="68">
                  <c:v>43949</c:v>
                </c:pt>
                <c:pt idx="69">
                  <c:v>43950</c:v>
                </c:pt>
                <c:pt idx="70">
                  <c:v>43951</c:v>
                </c:pt>
              </c:numCache>
            </c:numRef>
          </c:cat>
          <c:val>
            <c:numRef>
              <c:f>'Figura 5'!$G$2:$G$72</c:f>
              <c:numCache>
                <c:formatCode>General</c:formatCode>
                <c:ptCount val="7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numCache>
            </c:numRef>
          </c:val>
          <c:smooth val="0"/>
          <c:extLst xmlns:c16r2="http://schemas.microsoft.com/office/drawing/2015/06/chart">
            <c:ext xmlns:c16="http://schemas.microsoft.com/office/drawing/2014/chart" uri="{C3380CC4-5D6E-409C-BE32-E72D297353CC}">
              <c16:uniqueId val="{00000005-57CE-477F-8243-27A65504200A}"/>
            </c:ext>
          </c:extLst>
        </c:ser>
        <c:dLbls>
          <c:showLegendKey val="0"/>
          <c:showVal val="0"/>
          <c:showCatName val="0"/>
          <c:showSerName val="0"/>
          <c:showPercent val="0"/>
          <c:showBubbleSize val="0"/>
        </c:dLbls>
        <c:marker val="1"/>
        <c:smooth val="0"/>
        <c:axId val="219652096"/>
        <c:axId val="219653632"/>
      </c:lineChart>
      <c:dateAx>
        <c:axId val="219652096"/>
        <c:scaling>
          <c:orientation val="minMax"/>
        </c:scaling>
        <c:delete val="0"/>
        <c:axPos val="b"/>
        <c:majorGridlines>
          <c:spPr>
            <a:ln w="9525" cap="flat" cmpd="sng" algn="ctr">
              <a:solidFill>
                <a:schemeClr val="tx1">
                  <a:lumMod val="15000"/>
                  <a:lumOff val="85000"/>
                </a:schemeClr>
              </a:solidFill>
              <a:round/>
            </a:ln>
            <a:effectLst/>
          </c:spPr>
        </c:majorGridlines>
        <c:numFmt formatCode="d\-m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crossAx val="219653632"/>
        <c:crosses val="autoZero"/>
        <c:auto val="1"/>
        <c:lblOffset val="100"/>
        <c:baseTimeUnit val="days"/>
        <c:majorUnit val="3"/>
        <c:majorTimeUnit val="days"/>
      </c:dateAx>
      <c:valAx>
        <c:axId val="219653632"/>
        <c:scaling>
          <c:orientation val="minMax"/>
          <c:max val="115"/>
          <c:min val="8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crossAx val="219652096"/>
        <c:crosses val="autoZero"/>
        <c:crossBetween val="between"/>
      </c:valAx>
      <c:spPr>
        <a:noFill/>
        <a:ln>
          <a:noFill/>
        </a:ln>
        <a:effectLst/>
      </c:spPr>
    </c:plotArea>
    <c:legend>
      <c:legendPos val="t"/>
      <c:legendEntry>
        <c:idx val="5"/>
        <c:delete val="1"/>
      </c:legendEntry>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'Figura 6'!$B$1</c:f>
              <c:strCache>
                <c:ptCount val="1"/>
                <c:pt idx="0">
                  <c:v>eccesso di mortalità  2020 rispetto alla media 2015-2019</c:v>
                </c:pt>
              </c:strCache>
            </c:strRef>
          </c:tx>
          <c:spPr>
            <a:solidFill>
              <a:srgbClr val="002060"/>
            </a:solidFill>
            <a:ln>
              <a:noFill/>
            </a:ln>
            <a:effectLst/>
          </c:spPr>
          <c:invertIfNegative val="0"/>
          <c:cat>
            <c:numRef>
              <c:f>'Figura 6'!$A$2:$A$62</c:f>
              <c:numCache>
                <c:formatCode>d\-mmm</c:formatCode>
                <c:ptCount val="61"/>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pt idx="31">
                  <c:v>43922</c:v>
                </c:pt>
                <c:pt idx="32">
                  <c:v>43923</c:v>
                </c:pt>
                <c:pt idx="33">
                  <c:v>43924</c:v>
                </c:pt>
                <c:pt idx="34">
                  <c:v>43925</c:v>
                </c:pt>
                <c:pt idx="35">
                  <c:v>43926</c:v>
                </c:pt>
                <c:pt idx="36">
                  <c:v>43927</c:v>
                </c:pt>
                <c:pt idx="37">
                  <c:v>43928</c:v>
                </c:pt>
                <c:pt idx="38">
                  <c:v>43929</c:v>
                </c:pt>
                <c:pt idx="39">
                  <c:v>43930</c:v>
                </c:pt>
                <c:pt idx="40">
                  <c:v>43931</c:v>
                </c:pt>
                <c:pt idx="41">
                  <c:v>43932</c:v>
                </c:pt>
                <c:pt idx="42">
                  <c:v>43933</c:v>
                </c:pt>
                <c:pt idx="43">
                  <c:v>43934</c:v>
                </c:pt>
                <c:pt idx="44">
                  <c:v>43935</c:v>
                </c:pt>
                <c:pt idx="45">
                  <c:v>43936</c:v>
                </c:pt>
                <c:pt idx="46">
                  <c:v>43937</c:v>
                </c:pt>
                <c:pt idx="47">
                  <c:v>43938</c:v>
                </c:pt>
                <c:pt idx="48">
                  <c:v>43939</c:v>
                </c:pt>
                <c:pt idx="49">
                  <c:v>43940</c:v>
                </c:pt>
                <c:pt idx="50">
                  <c:v>43941</c:v>
                </c:pt>
                <c:pt idx="51">
                  <c:v>43942</c:v>
                </c:pt>
                <c:pt idx="52">
                  <c:v>43943</c:v>
                </c:pt>
                <c:pt idx="53">
                  <c:v>43944</c:v>
                </c:pt>
                <c:pt idx="54">
                  <c:v>43945</c:v>
                </c:pt>
                <c:pt idx="55">
                  <c:v>43946</c:v>
                </c:pt>
                <c:pt idx="56">
                  <c:v>43947</c:v>
                </c:pt>
                <c:pt idx="57">
                  <c:v>43948</c:v>
                </c:pt>
                <c:pt idx="58">
                  <c:v>43949</c:v>
                </c:pt>
                <c:pt idx="59">
                  <c:v>43950</c:v>
                </c:pt>
                <c:pt idx="60">
                  <c:v>43951</c:v>
                </c:pt>
              </c:numCache>
            </c:numRef>
          </c:cat>
          <c:val>
            <c:numRef>
              <c:f>'Figura 6'!$B$2:$B$62</c:f>
              <c:numCache>
                <c:formatCode>General</c:formatCode>
                <c:ptCount val="61"/>
                <c:pt idx="0">
                  <c:v>9.3999999999999986</c:v>
                </c:pt>
                <c:pt idx="1">
                  <c:v>27.6</c:v>
                </c:pt>
                <c:pt idx="2">
                  <c:v>59.599999999999994</c:v>
                </c:pt>
                <c:pt idx="3">
                  <c:v>38.4</c:v>
                </c:pt>
                <c:pt idx="4">
                  <c:v>96.600000000000009</c:v>
                </c:pt>
                <c:pt idx="5">
                  <c:v>169.2</c:v>
                </c:pt>
                <c:pt idx="6">
                  <c:v>161.79999999999998</c:v>
                </c:pt>
                <c:pt idx="7">
                  <c:v>216</c:v>
                </c:pt>
                <c:pt idx="8">
                  <c:v>239.4</c:v>
                </c:pt>
                <c:pt idx="9">
                  <c:v>324.59999999999997</c:v>
                </c:pt>
                <c:pt idx="10">
                  <c:v>366.2</c:v>
                </c:pt>
                <c:pt idx="11">
                  <c:v>351.2</c:v>
                </c:pt>
                <c:pt idx="12">
                  <c:v>403.2</c:v>
                </c:pt>
                <c:pt idx="13">
                  <c:v>431.4</c:v>
                </c:pt>
                <c:pt idx="14">
                  <c:v>386.6</c:v>
                </c:pt>
                <c:pt idx="15">
                  <c:v>536.79999999999995</c:v>
                </c:pt>
                <c:pt idx="16">
                  <c:v>561.79999999999995</c:v>
                </c:pt>
                <c:pt idx="17">
                  <c:v>654.80000000000007</c:v>
                </c:pt>
                <c:pt idx="18">
                  <c:v>714.39999999999986</c:v>
                </c:pt>
                <c:pt idx="19">
                  <c:v>673.99999999999989</c:v>
                </c:pt>
                <c:pt idx="20">
                  <c:v>726.40000000000009</c:v>
                </c:pt>
                <c:pt idx="21">
                  <c:v>716.2</c:v>
                </c:pt>
                <c:pt idx="22">
                  <c:v>732.4</c:v>
                </c:pt>
                <c:pt idx="23">
                  <c:v>721.2</c:v>
                </c:pt>
                <c:pt idx="24">
                  <c:v>729.6</c:v>
                </c:pt>
                <c:pt idx="25">
                  <c:v>664.19999999999993</c:v>
                </c:pt>
                <c:pt idx="26">
                  <c:v>695</c:v>
                </c:pt>
                <c:pt idx="27">
                  <c:v>684.6</c:v>
                </c:pt>
                <c:pt idx="28">
                  <c:v>597.20000000000005</c:v>
                </c:pt>
                <c:pt idx="29">
                  <c:v>579.80000000000007</c:v>
                </c:pt>
                <c:pt idx="30">
                  <c:v>509.79999999999995</c:v>
                </c:pt>
                <c:pt idx="31">
                  <c:v>479.79999999999995</c:v>
                </c:pt>
                <c:pt idx="32">
                  <c:v>442</c:v>
                </c:pt>
                <c:pt idx="33">
                  <c:v>409.4</c:v>
                </c:pt>
                <c:pt idx="34">
                  <c:v>355.40000000000003</c:v>
                </c:pt>
                <c:pt idx="35">
                  <c:v>310.39999999999998</c:v>
                </c:pt>
                <c:pt idx="36">
                  <c:v>323.2</c:v>
                </c:pt>
                <c:pt idx="37">
                  <c:v>395.4</c:v>
                </c:pt>
                <c:pt idx="38">
                  <c:v>376.20000000000005</c:v>
                </c:pt>
                <c:pt idx="39">
                  <c:v>255.2</c:v>
                </c:pt>
                <c:pt idx="40">
                  <c:v>285.2</c:v>
                </c:pt>
                <c:pt idx="41">
                  <c:v>305.2</c:v>
                </c:pt>
                <c:pt idx="42">
                  <c:v>225</c:v>
                </c:pt>
                <c:pt idx="43">
                  <c:v>263.8</c:v>
                </c:pt>
                <c:pt idx="44">
                  <c:v>234</c:v>
                </c:pt>
                <c:pt idx="45">
                  <c:v>178.20000000000002</c:v>
                </c:pt>
                <c:pt idx="46">
                  <c:v>136.80000000000001</c:v>
                </c:pt>
                <c:pt idx="47">
                  <c:v>157</c:v>
                </c:pt>
                <c:pt idx="48">
                  <c:v>175.4</c:v>
                </c:pt>
                <c:pt idx="49">
                  <c:v>160</c:v>
                </c:pt>
                <c:pt idx="50">
                  <c:v>160.6</c:v>
                </c:pt>
                <c:pt idx="51">
                  <c:v>49.6</c:v>
                </c:pt>
                <c:pt idx="52">
                  <c:v>73.8</c:v>
                </c:pt>
                <c:pt idx="53">
                  <c:v>56.6</c:v>
                </c:pt>
                <c:pt idx="54">
                  <c:v>72.8</c:v>
                </c:pt>
                <c:pt idx="55">
                  <c:v>90.800000000000011</c:v>
                </c:pt>
                <c:pt idx="56">
                  <c:v>62.4</c:v>
                </c:pt>
                <c:pt idx="57">
                  <c:v>60.400000000000006</c:v>
                </c:pt>
                <c:pt idx="58">
                  <c:v>34.200000000000003</c:v>
                </c:pt>
                <c:pt idx="59">
                  <c:v>51.8</c:v>
                </c:pt>
                <c:pt idx="60">
                  <c:v>43.599999999999994</c:v>
                </c:pt>
              </c:numCache>
            </c:numRef>
          </c:val>
          <c:extLst xmlns:c16r2="http://schemas.microsoft.com/office/drawing/2015/06/chart">
            <c:ext xmlns:c16="http://schemas.microsoft.com/office/drawing/2014/chart" uri="{C3380CC4-5D6E-409C-BE32-E72D297353CC}">
              <c16:uniqueId val="{00000000-BC76-4BF4-99BA-4383F116E695}"/>
            </c:ext>
          </c:extLst>
        </c:ser>
        <c:ser>
          <c:idx val="1"/>
          <c:order val="1"/>
          <c:tx>
            <c:strRef>
              <c:f>'Figura 6'!$C$1</c:f>
              <c:strCache>
                <c:ptCount val="1"/>
                <c:pt idx="0">
                  <c:v>decessi covid-19</c:v>
                </c:pt>
              </c:strCache>
            </c:strRef>
          </c:tx>
          <c:spPr>
            <a:solidFill>
              <a:srgbClr val="FFC000"/>
            </a:solidFill>
            <a:ln>
              <a:noFill/>
            </a:ln>
            <a:effectLst/>
          </c:spPr>
          <c:invertIfNegative val="0"/>
          <c:cat>
            <c:numRef>
              <c:f>'Figura 6'!$A$2:$A$62</c:f>
              <c:numCache>
                <c:formatCode>d\-mmm</c:formatCode>
                <c:ptCount val="61"/>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pt idx="31">
                  <c:v>43922</c:v>
                </c:pt>
                <c:pt idx="32">
                  <c:v>43923</c:v>
                </c:pt>
                <c:pt idx="33">
                  <c:v>43924</c:v>
                </c:pt>
                <c:pt idx="34">
                  <c:v>43925</c:v>
                </c:pt>
                <c:pt idx="35">
                  <c:v>43926</c:v>
                </c:pt>
                <c:pt idx="36">
                  <c:v>43927</c:v>
                </c:pt>
                <c:pt idx="37">
                  <c:v>43928</c:v>
                </c:pt>
                <c:pt idx="38">
                  <c:v>43929</c:v>
                </c:pt>
                <c:pt idx="39">
                  <c:v>43930</c:v>
                </c:pt>
                <c:pt idx="40">
                  <c:v>43931</c:v>
                </c:pt>
                <c:pt idx="41">
                  <c:v>43932</c:v>
                </c:pt>
                <c:pt idx="42">
                  <c:v>43933</c:v>
                </c:pt>
                <c:pt idx="43">
                  <c:v>43934</c:v>
                </c:pt>
                <c:pt idx="44">
                  <c:v>43935</c:v>
                </c:pt>
                <c:pt idx="45">
                  <c:v>43936</c:v>
                </c:pt>
                <c:pt idx="46">
                  <c:v>43937</c:v>
                </c:pt>
                <c:pt idx="47">
                  <c:v>43938</c:v>
                </c:pt>
                <c:pt idx="48">
                  <c:v>43939</c:v>
                </c:pt>
                <c:pt idx="49">
                  <c:v>43940</c:v>
                </c:pt>
                <c:pt idx="50">
                  <c:v>43941</c:v>
                </c:pt>
                <c:pt idx="51">
                  <c:v>43942</c:v>
                </c:pt>
                <c:pt idx="52">
                  <c:v>43943</c:v>
                </c:pt>
                <c:pt idx="53">
                  <c:v>43944</c:v>
                </c:pt>
                <c:pt idx="54">
                  <c:v>43945</c:v>
                </c:pt>
                <c:pt idx="55">
                  <c:v>43946</c:v>
                </c:pt>
                <c:pt idx="56">
                  <c:v>43947</c:v>
                </c:pt>
                <c:pt idx="57">
                  <c:v>43948</c:v>
                </c:pt>
                <c:pt idx="58">
                  <c:v>43949</c:v>
                </c:pt>
                <c:pt idx="59">
                  <c:v>43950</c:v>
                </c:pt>
                <c:pt idx="60">
                  <c:v>43951</c:v>
                </c:pt>
              </c:numCache>
            </c:numRef>
          </c:cat>
          <c:val>
            <c:numRef>
              <c:f>'Figura 6'!$C$2:$C$62</c:f>
              <c:numCache>
                <c:formatCode>General</c:formatCode>
                <c:ptCount val="61"/>
                <c:pt idx="0">
                  <c:v>18</c:v>
                </c:pt>
                <c:pt idx="1">
                  <c:v>16</c:v>
                </c:pt>
                <c:pt idx="2">
                  <c:v>36</c:v>
                </c:pt>
                <c:pt idx="3">
                  <c:v>38</c:v>
                </c:pt>
                <c:pt idx="4">
                  <c:v>56</c:v>
                </c:pt>
                <c:pt idx="5">
                  <c:v>74</c:v>
                </c:pt>
                <c:pt idx="6">
                  <c:v>112</c:v>
                </c:pt>
                <c:pt idx="7">
                  <c:v>121</c:v>
                </c:pt>
                <c:pt idx="8">
                  <c:v>156</c:v>
                </c:pt>
                <c:pt idx="9">
                  <c:v>191</c:v>
                </c:pt>
                <c:pt idx="10">
                  <c:v>211</c:v>
                </c:pt>
                <c:pt idx="11">
                  <c:v>209</c:v>
                </c:pt>
                <c:pt idx="12">
                  <c:v>230</c:v>
                </c:pt>
                <c:pt idx="13">
                  <c:v>275</c:v>
                </c:pt>
                <c:pt idx="14">
                  <c:v>241</c:v>
                </c:pt>
                <c:pt idx="15">
                  <c:v>328</c:v>
                </c:pt>
                <c:pt idx="16">
                  <c:v>366</c:v>
                </c:pt>
                <c:pt idx="17">
                  <c:v>391</c:v>
                </c:pt>
                <c:pt idx="18">
                  <c:v>378</c:v>
                </c:pt>
                <c:pt idx="19">
                  <c:v>426</c:v>
                </c:pt>
                <c:pt idx="20">
                  <c:v>473</c:v>
                </c:pt>
                <c:pt idx="21">
                  <c:v>452</c:v>
                </c:pt>
                <c:pt idx="22">
                  <c:v>470</c:v>
                </c:pt>
                <c:pt idx="23">
                  <c:v>445</c:v>
                </c:pt>
                <c:pt idx="24">
                  <c:v>452</c:v>
                </c:pt>
                <c:pt idx="25">
                  <c:v>450</c:v>
                </c:pt>
                <c:pt idx="26">
                  <c:v>466</c:v>
                </c:pt>
                <c:pt idx="27">
                  <c:v>476</c:v>
                </c:pt>
                <c:pt idx="28">
                  <c:v>391</c:v>
                </c:pt>
                <c:pt idx="29">
                  <c:v>391</c:v>
                </c:pt>
                <c:pt idx="30">
                  <c:v>352</c:v>
                </c:pt>
                <c:pt idx="31">
                  <c:v>353</c:v>
                </c:pt>
                <c:pt idx="32">
                  <c:v>303</c:v>
                </c:pt>
                <c:pt idx="33">
                  <c:v>304</c:v>
                </c:pt>
                <c:pt idx="34">
                  <c:v>265</c:v>
                </c:pt>
                <c:pt idx="35">
                  <c:v>256</c:v>
                </c:pt>
                <c:pt idx="36">
                  <c:v>239</c:v>
                </c:pt>
                <c:pt idx="37">
                  <c:v>267</c:v>
                </c:pt>
                <c:pt idx="38">
                  <c:v>246</c:v>
                </c:pt>
                <c:pt idx="39">
                  <c:v>202</c:v>
                </c:pt>
                <c:pt idx="40">
                  <c:v>223</c:v>
                </c:pt>
                <c:pt idx="41">
                  <c:v>198</c:v>
                </c:pt>
                <c:pt idx="42">
                  <c:v>188</c:v>
                </c:pt>
                <c:pt idx="43">
                  <c:v>186</c:v>
                </c:pt>
                <c:pt idx="44">
                  <c:v>189</c:v>
                </c:pt>
                <c:pt idx="45">
                  <c:v>166</c:v>
                </c:pt>
                <c:pt idx="46">
                  <c:v>148</c:v>
                </c:pt>
                <c:pt idx="47">
                  <c:v>143</c:v>
                </c:pt>
                <c:pt idx="48">
                  <c:v>133</c:v>
                </c:pt>
                <c:pt idx="49">
                  <c:v>135</c:v>
                </c:pt>
                <c:pt idx="50">
                  <c:v>145</c:v>
                </c:pt>
                <c:pt idx="51">
                  <c:v>97</c:v>
                </c:pt>
                <c:pt idx="52">
                  <c:v>103</c:v>
                </c:pt>
                <c:pt idx="53">
                  <c:v>96</c:v>
                </c:pt>
                <c:pt idx="54">
                  <c:v>110</c:v>
                </c:pt>
                <c:pt idx="55">
                  <c:v>97</c:v>
                </c:pt>
                <c:pt idx="56">
                  <c:v>96</c:v>
                </c:pt>
                <c:pt idx="57">
                  <c:v>90</c:v>
                </c:pt>
                <c:pt idx="58">
                  <c:v>95</c:v>
                </c:pt>
                <c:pt idx="59">
                  <c:v>88</c:v>
                </c:pt>
                <c:pt idx="60">
                  <c:v>84</c:v>
                </c:pt>
              </c:numCache>
            </c:numRef>
          </c:val>
          <c:extLst xmlns:c16r2="http://schemas.microsoft.com/office/drawing/2015/06/chart">
            <c:ext xmlns:c16="http://schemas.microsoft.com/office/drawing/2014/chart" uri="{C3380CC4-5D6E-409C-BE32-E72D297353CC}">
              <c16:uniqueId val="{00000001-BC76-4BF4-99BA-4383F116E695}"/>
            </c:ext>
          </c:extLst>
        </c:ser>
        <c:dLbls>
          <c:showLegendKey val="0"/>
          <c:showVal val="0"/>
          <c:showCatName val="0"/>
          <c:showSerName val="0"/>
          <c:showPercent val="0"/>
          <c:showBubbleSize val="0"/>
        </c:dLbls>
        <c:gapWidth val="90"/>
        <c:axId val="219675648"/>
        <c:axId val="219681536"/>
      </c:barChart>
      <c:dateAx>
        <c:axId val="219675648"/>
        <c:scaling>
          <c:orientation val="minMax"/>
        </c:scaling>
        <c:delete val="0"/>
        <c:axPos val="b"/>
        <c:majorGridlines>
          <c:spPr>
            <a:ln w="9525" cap="flat" cmpd="sng" algn="ctr">
              <a:solidFill>
                <a:schemeClr val="tx1">
                  <a:lumMod val="15000"/>
                  <a:lumOff val="85000"/>
                </a:schemeClr>
              </a:solidFill>
              <a:round/>
            </a:ln>
            <a:effectLst/>
          </c:spPr>
        </c:majorGridlines>
        <c:numFmt formatCode="d\-m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crossAx val="219681536"/>
        <c:crosses val="autoZero"/>
        <c:auto val="1"/>
        <c:lblOffset val="100"/>
        <c:baseTimeUnit val="days"/>
      </c:dateAx>
      <c:valAx>
        <c:axId val="219681536"/>
        <c:scaling>
          <c:orientation val="minMax"/>
          <c:max val="8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crossAx val="219675648"/>
        <c:crosses val="autoZero"/>
        <c:crossBetween val="between"/>
        <c:majorUnit val="100"/>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'Figura 7'!$B$1</c:f>
              <c:strCache>
                <c:ptCount val="1"/>
                <c:pt idx="0">
                  <c:v>eccesso di mortalità  2020 rispetto alla media 2015-2019</c:v>
                </c:pt>
              </c:strCache>
            </c:strRef>
          </c:tx>
          <c:spPr>
            <a:solidFill>
              <a:srgbClr val="002060"/>
            </a:solidFill>
            <a:ln>
              <a:noFill/>
            </a:ln>
            <a:effectLst/>
          </c:spPr>
          <c:invertIfNegative val="0"/>
          <c:cat>
            <c:numRef>
              <c:f>'Figura 7'!$A$2:$A$62</c:f>
              <c:numCache>
                <c:formatCode>d\-mmm</c:formatCode>
                <c:ptCount val="61"/>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pt idx="31">
                  <c:v>43922</c:v>
                </c:pt>
                <c:pt idx="32">
                  <c:v>43923</c:v>
                </c:pt>
                <c:pt idx="33">
                  <c:v>43924</c:v>
                </c:pt>
                <c:pt idx="34">
                  <c:v>43925</c:v>
                </c:pt>
                <c:pt idx="35">
                  <c:v>43926</c:v>
                </c:pt>
                <c:pt idx="36">
                  <c:v>43927</c:v>
                </c:pt>
                <c:pt idx="37">
                  <c:v>43928</c:v>
                </c:pt>
                <c:pt idx="38">
                  <c:v>43929</c:v>
                </c:pt>
                <c:pt idx="39">
                  <c:v>43930</c:v>
                </c:pt>
                <c:pt idx="40">
                  <c:v>43931</c:v>
                </c:pt>
                <c:pt idx="41">
                  <c:v>43932</c:v>
                </c:pt>
                <c:pt idx="42">
                  <c:v>43933</c:v>
                </c:pt>
                <c:pt idx="43">
                  <c:v>43934</c:v>
                </c:pt>
                <c:pt idx="44">
                  <c:v>43935</c:v>
                </c:pt>
                <c:pt idx="45">
                  <c:v>43936</c:v>
                </c:pt>
                <c:pt idx="46">
                  <c:v>43937</c:v>
                </c:pt>
                <c:pt idx="47">
                  <c:v>43938</c:v>
                </c:pt>
                <c:pt idx="48">
                  <c:v>43939</c:v>
                </c:pt>
                <c:pt idx="49">
                  <c:v>43940</c:v>
                </c:pt>
                <c:pt idx="50">
                  <c:v>43941</c:v>
                </c:pt>
                <c:pt idx="51">
                  <c:v>43942</c:v>
                </c:pt>
                <c:pt idx="52">
                  <c:v>43943</c:v>
                </c:pt>
                <c:pt idx="53">
                  <c:v>43944</c:v>
                </c:pt>
                <c:pt idx="54">
                  <c:v>43945</c:v>
                </c:pt>
                <c:pt idx="55">
                  <c:v>43946</c:v>
                </c:pt>
                <c:pt idx="56">
                  <c:v>43947</c:v>
                </c:pt>
                <c:pt idx="57">
                  <c:v>43948</c:v>
                </c:pt>
                <c:pt idx="58">
                  <c:v>43949</c:v>
                </c:pt>
                <c:pt idx="59">
                  <c:v>43950</c:v>
                </c:pt>
                <c:pt idx="60">
                  <c:v>43951</c:v>
                </c:pt>
              </c:numCache>
            </c:numRef>
          </c:cat>
          <c:val>
            <c:numRef>
              <c:f>'Figura 7'!$B$2:$B$62</c:f>
              <c:numCache>
                <c:formatCode>General</c:formatCode>
                <c:ptCount val="61"/>
                <c:pt idx="0">
                  <c:v>-25.4</c:v>
                </c:pt>
                <c:pt idx="1">
                  <c:v>24.4</c:v>
                </c:pt>
                <c:pt idx="2">
                  <c:v>25.4</c:v>
                </c:pt>
                <c:pt idx="3">
                  <c:v>22.4</c:v>
                </c:pt>
                <c:pt idx="4">
                  <c:v>29.799999999999997</c:v>
                </c:pt>
                <c:pt idx="5">
                  <c:v>96.199999999999989</c:v>
                </c:pt>
                <c:pt idx="6">
                  <c:v>62.8</c:v>
                </c:pt>
                <c:pt idx="7">
                  <c:v>109</c:v>
                </c:pt>
                <c:pt idx="8">
                  <c:v>143.6</c:v>
                </c:pt>
                <c:pt idx="9">
                  <c:v>174.4</c:v>
                </c:pt>
                <c:pt idx="10">
                  <c:v>196.20000000000002</c:v>
                </c:pt>
                <c:pt idx="11">
                  <c:v>236.2</c:v>
                </c:pt>
                <c:pt idx="12">
                  <c:v>277.2</c:v>
                </c:pt>
                <c:pt idx="13">
                  <c:v>321.39999999999998</c:v>
                </c:pt>
                <c:pt idx="14">
                  <c:v>333</c:v>
                </c:pt>
                <c:pt idx="15">
                  <c:v>352.4</c:v>
                </c:pt>
                <c:pt idx="16">
                  <c:v>386.79999999999995</c:v>
                </c:pt>
                <c:pt idx="17">
                  <c:v>413.2</c:v>
                </c:pt>
                <c:pt idx="18">
                  <c:v>465.79999999999995</c:v>
                </c:pt>
                <c:pt idx="19">
                  <c:v>494.20000000000005</c:v>
                </c:pt>
                <c:pt idx="20">
                  <c:v>513.20000000000005</c:v>
                </c:pt>
                <c:pt idx="21">
                  <c:v>568</c:v>
                </c:pt>
                <c:pt idx="22">
                  <c:v>528.79999999999995</c:v>
                </c:pt>
                <c:pt idx="23">
                  <c:v>547.40000000000009</c:v>
                </c:pt>
                <c:pt idx="24">
                  <c:v>534.20000000000005</c:v>
                </c:pt>
                <c:pt idx="25">
                  <c:v>593.20000000000005</c:v>
                </c:pt>
                <c:pt idx="26">
                  <c:v>581.20000000000005</c:v>
                </c:pt>
                <c:pt idx="27">
                  <c:v>575.40000000000009</c:v>
                </c:pt>
                <c:pt idx="28">
                  <c:v>556.79999999999995</c:v>
                </c:pt>
                <c:pt idx="29">
                  <c:v>514.79999999999995</c:v>
                </c:pt>
                <c:pt idx="30">
                  <c:v>453.8</c:v>
                </c:pt>
                <c:pt idx="31">
                  <c:v>444.4</c:v>
                </c:pt>
                <c:pt idx="32">
                  <c:v>416.8</c:v>
                </c:pt>
                <c:pt idx="33">
                  <c:v>405</c:v>
                </c:pt>
                <c:pt idx="34">
                  <c:v>389.40000000000003</c:v>
                </c:pt>
                <c:pt idx="35">
                  <c:v>397.8</c:v>
                </c:pt>
                <c:pt idx="36">
                  <c:v>371.2</c:v>
                </c:pt>
                <c:pt idx="37">
                  <c:v>374.20000000000005</c:v>
                </c:pt>
                <c:pt idx="38">
                  <c:v>358.4</c:v>
                </c:pt>
                <c:pt idx="39">
                  <c:v>292.60000000000002</c:v>
                </c:pt>
                <c:pt idx="40">
                  <c:v>312.20000000000005</c:v>
                </c:pt>
                <c:pt idx="41">
                  <c:v>328.6</c:v>
                </c:pt>
                <c:pt idx="42">
                  <c:v>358.4</c:v>
                </c:pt>
                <c:pt idx="43">
                  <c:v>349.8</c:v>
                </c:pt>
                <c:pt idx="44">
                  <c:v>318.2</c:v>
                </c:pt>
                <c:pt idx="45">
                  <c:v>273</c:v>
                </c:pt>
                <c:pt idx="46">
                  <c:v>260.8</c:v>
                </c:pt>
                <c:pt idx="47">
                  <c:v>262.2</c:v>
                </c:pt>
                <c:pt idx="48">
                  <c:v>234.4</c:v>
                </c:pt>
                <c:pt idx="49">
                  <c:v>220</c:v>
                </c:pt>
                <c:pt idx="50">
                  <c:v>186.6</c:v>
                </c:pt>
                <c:pt idx="51">
                  <c:v>199.60000000000002</c:v>
                </c:pt>
                <c:pt idx="52">
                  <c:v>115.2</c:v>
                </c:pt>
                <c:pt idx="53">
                  <c:v>107.8</c:v>
                </c:pt>
                <c:pt idx="54">
                  <c:v>152</c:v>
                </c:pt>
                <c:pt idx="55">
                  <c:v>160</c:v>
                </c:pt>
                <c:pt idx="56">
                  <c:v>110.6</c:v>
                </c:pt>
                <c:pt idx="57">
                  <c:v>115.6</c:v>
                </c:pt>
                <c:pt idx="58">
                  <c:v>129.6</c:v>
                </c:pt>
                <c:pt idx="59">
                  <c:v>76</c:v>
                </c:pt>
                <c:pt idx="60">
                  <c:v>44.599999999999994</c:v>
                </c:pt>
              </c:numCache>
            </c:numRef>
          </c:val>
          <c:extLst xmlns:c16r2="http://schemas.microsoft.com/office/drawing/2015/06/chart">
            <c:ext xmlns:c16="http://schemas.microsoft.com/office/drawing/2014/chart" uri="{C3380CC4-5D6E-409C-BE32-E72D297353CC}">
              <c16:uniqueId val="{00000000-22CF-4CF7-82B9-7EF96A7796D4}"/>
            </c:ext>
          </c:extLst>
        </c:ser>
        <c:ser>
          <c:idx val="1"/>
          <c:order val="1"/>
          <c:tx>
            <c:strRef>
              <c:f>'Figura 7'!$C$1</c:f>
              <c:strCache>
                <c:ptCount val="1"/>
                <c:pt idx="0">
                  <c:v>decessi covid-19</c:v>
                </c:pt>
              </c:strCache>
            </c:strRef>
          </c:tx>
          <c:spPr>
            <a:solidFill>
              <a:srgbClr val="FFC000"/>
            </a:solidFill>
            <a:ln>
              <a:noFill/>
            </a:ln>
            <a:effectLst/>
          </c:spPr>
          <c:invertIfNegative val="0"/>
          <c:cat>
            <c:numRef>
              <c:f>'Figura 7'!$A$2:$A$62</c:f>
              <c:numCache>
                <c:formatCode>d\-mmm</c:formatCode>
                <c:ptCount val="61"/>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pt idx="31">
                  <c:v>43922</c:v>
                </c:pt>
                <c:pt idx="32">
                  <c:v>43923</c:v>
                </c:pt>
                <c:pt idx="33">
                  <c:v>43924</c:v>
                </c:pt>
                <c:pt idx="34">
                  <c:v>43925</c:v>
                </c:pt>
                <c:pt idx="35">
                  <c:v>43926</c:v>
                </c:pt>
                <c:pt idx="36">
                  <c:v>43927</c:v>
                </c:pt>
                <c:pt idx="37">
                  <c:v>43928</c:v>
                </c:pt>
                <c:pt idx="38">
                  <c:v>43929</c:v>
                </c:pt>
                <c:pt idx="39">
                  <c:v>43930</c:v>
                </c:pt>
                <c:pt idx="40">
                  <c:v>43931</c:v>
                </c:pt>
                <c:pt idx="41">
                  <c:v>43932</c:v>
                </c:pt>
                <c:pt idx="42">
                  <c:v>43933</c:v>
                </c:pt>
                <c:pt idx="43">
                  <c:v>43934</c:v>
                </c:pt>
                <c:pt idx="44">
                  <c:v>43935</c:v>
                </c:pt>
                <c:pt idx="45">
                  <c:v>43936</c:v>
                </c:pt>
                <c:pt idx="46">
                  <c:v>43937</c:v>
                </c:pt>
                <c:pt idx="47">
                  <c:v>43938</c:v>
                </c:pt>
                <c:pt idx="48">
                  <c:v>43939</c:v>
                </c:pt>
                <c:pt idx="49">
                  <c:v>43940</c:v>
                </c:pt>
                <c:pt idx="50">
                  <c:v>43941</c:v>
                </c:pt>
                <c:pt idx="51">
                  <c:v>43942</c:v>
                </c:pt>
                <c:pt idx="52">
                  <c:v>43943</c:v>
                </c:pt>
                <c:pt idx="53">
                  <c:v>43944</c:v>
                </c:pt>
                <c:pt idx="54">
                  <c:v>43945</c:v>
                </c:pt>
                <c:pt idx="55">
                  <c:v>43946</c:v>
                </c:pt>
                <c:pt idx="56">
                  <c:v>43947</c:v>
                </c:pt>
                <c:pt idx="57">
                  <c:v>43948</c:v>
                </c:pt>
                <c:pt idx="58">
                  <c:v>43949</c:v>
                </c:pt>
                <c:pt idx="59">
                  <c:v>43950</c:v>
                </c:pt>
                <c:pt idx="60">
                  <c:v>43951</c:v>
                </c:pt>
              </c:numCache>
            </c:numRef>
          </c:cat>
          <c:val>
            <c:numRef>
              <c:f>'Figura 7'!$C$2:$C$62</c:f>
              <c:numCache>
                <c:formatCode>General</c:formatCode>
                <c:ptCount val="61"/>
                <c:pt idx="0">
                  <c:v>3</c:v>
                </c:pt>
                <c:pt idx="1">
                  <c:v>7</c:v>
                </c:pt>
                <c:pt idx="2">
                  <c:v>18</c:v>
                </c:pt>
                <c:pt idx="3">
                  <c:v>16</c:v>
                </c:pt>
                <c:pt idx="4">
                  <c:v>21</c:v>
                </c:pt>
                <c:pt idx="5">
                  <c:v>35</c:v>
                </c:pt>
                <c:pt idx="6">
                  <c:v>43</c:v>
                </c:pt>
                <c:pt idx="7">
                  <c:v>51</c:v>
                </c:pt>
                <c:pt idx="8">
                  <c:v>60</c:v>
                </c:pt>
                <c:pt idx="9">
                  <c:v>81</c:v>
                </c:pt>
                <c:pt idx="10">
                  <c:v>80</c:v>
                </c:pt>
                <c:pt idx="11">
                  <c:v>86</c:v>
                </c:pt>
                <c:pt idx="12">
                  <c:v>103</c:v>
                </c:pt>
                <c:pt idx="13">
                  <c:v>131</c:v>
                </c:pt>
                <c:pt idx="14">
                  <c:v>131</c:v>
                </c:pt>
                <c:pt idx="15">
                  <c:v>134</c:v>
                </c:pt>
                <c:pt idx="16">
                  <c:v>143</c:v>
                </c:pt>
                <c:pt idx="17">
                  <c:v>151</c:v>
                </c:pt>
                <c:pt idx="18">
                  <c:v>177</c:v>
                </c:pt>
                <c:pt idx="19">
                  <c:v>201</c:v>
                </c:pt>
                <c:pt idx="20">
                  <c:v>200</c:v>
                </c:pt>
                <c:pt idx="21">
                  <c:v>221</c:v>
                </c:pt>
                <c:pt idx="22">
                  <c:v>224</c:v>
                </c:pt>
                <c:pt idx="23">
                  <c:v>215</c:v>
                </c:pt>
                <c:pt idx="24">
                  <c:v>231</c:v>
                </c:pt>
                <c:pt idx="25">
                  <c:v>209</c:v>
                </c:pt>
                <c:pt idx="26">
                  <c:v>231</c:v>
                </c:pt>
                <c:pt idx="27">
                  <c:v>250</c:v>
                </c:pt>
                <c:pt idx="28">
                  <c:v>224</c:v>
                </c:pt>
                <c:pt idx="29">
                  <c:v>214</c:v>
                </c:pt>
                <c:pt idx="30">
                  <c:v>188</c:v>
                </c:pt>
                <c:pt idx="31">
                  <c:v>213</c:v>
                </c:pt>
                <c:pt idx="32">
                  <c:v>200</c:v>
                </c:pt>
                <c:pt idx="33">
                  <c:v>172</c:v>
                </c:pt>
                <c:pt idx="34">
                  <c:v>190</c:v>
                </c:pt>
                <c:pt idx="35">
                  <c:v>174</c:v>
                </c:pt>
                <c:pt idx="36">
                  <c:v>176</c:v>
                </c:pt>
                <c:pt idx="37">
                  <c:v>178</c:v>
                </c:pt>
                <c:pt idx="38">
                  <c:v>184</c:v>
                </c:pt>
                <c:pt idx="39">
                  <c:v>168</c:v>
                </c:pt>
                <c:pt idx="40">
                  <c:v>187</c:v>
                </c:pt>
                <c:pt idx="41">
                  <c:v>204</c:v>
                </c:pt>
                <c:pt idx="42">
                  <c:v>191</c:v>
                </c:pt>
                <c:pt idx="43">
                  <c:v>184</c:v>
                </c:pt>
                <c:pt idx="44">
                  <c:v>175</c:v>
                </c:pt>
                <c:pt idx="45">
                  <c:v>175</c:v>
                </c:pt>
                <c:pt idx="46">
                  <c:v>148</c:v>
                </c:pt>
                <c:pt idx="47">
                  <c:v>156</c:v>
                </c:pt>
                <c:pt idx="48">
                  <c:v>162</c:v>
                </c:pt>
                <c:pt idx="49">
                  <c:v>152</c:v>
                </c:pt>
                <c:pt idx="50">
                  <c:v>145</c:v>
                </c:pt>
                <c:pt idx="51">
                  <c:v>137</c:v>
                </c:pt>
                <c:pt idx="52">
                  <c:v>137</c:v>
                </c:pt>
                <c:pt idx="53">
                  <c:v>123</c:v>
                </c:pt>
                <c:pt idx="54">
                  <c:v>135</c:v>
                </c:pt>
                <c:pt idx="55">
                  <c:v>129</c:v>
                </c:pt>
                <c:pt idx="56">
                  <c:v>122</c:v>
                </c:pt>
                <c:pt idx="57">
                  <c:v>137</c:v>
                </c:pt>
                <c:pt idx="58">
                  <c:v>111</c:v>
                </c:pt>
                <c:pt idx="59">
                  <c:v>115</c:v>
                </c:pt>
                <c:pt idx="60">
                  <c:v>94</c:v>
                </c:pt>
              </c:numCache>
            </c:numRef>
          </c:val>
          <c:extLst xmlns:c16r2="http://schemas.microsoft.com/office/drawing/2015/06/chart">
            <c:ext xmlns:c16="http://schemas.microsoft.com/office/drawing/2014/chart" uri="{C3380CC4-5D6E-409C-BE32-E72D297353CC}">
              <c16:uniqueId val="{00000001-22CF-4CF7-82B9-7EF96A7796D4}"/>
            </c:ext>
          </c:extLst>
        </c:ser>
        <c:dLbls>
          <c:showLegendKey val="0"/>
          <c:showVal val="0"/>
          <c:showCatName val="0"/>
          <c:showSerName val="0"/>
          <c:showPercent val="0"/>
          <c:showBubbleSize val="0"/>
        </c:dLbls>
        <c:gapWidth val="90"/>
        <c:axId val="219711360"/>
        <c:axId val="219712896"/>
      </c:barChart>
      <c:dateAx>
        <c:axId val="219711360"/>
        <c:scaling>
          <c:orientation val="minMax"/>
        </c:scaling>
        <c:delete val="0"/>
        <c:axPos val="b"/>
        <c:majorGridlines>
          <c:spPr>
            <a:ln w="9525" cap="flat" cmpd="sng" algn="ctr">
              <a:solidFill>
                <a:schemeClr val="tx1">
                  <a:lumMod val="15000"/>
                  <a:lumOff val="85000"/>
                </a:schemeClr>
              </a:solidFill>
              <a:round/>
            </a:ln>
            <a:effectLst/>
          </c:spPr>
        </c:majorGridlines>
        <c:numFmt formatCode="d\-m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crossAx val="219712896"/>
        <c:crosses val="autoZero"/>
        <c:auto val="1"/>
        <c:lblOffset val="100"/>
        <c:baseTimeUnit val="days"/>
      </c:dateAx>
      <c:valAx>
        <c:axId val="219712896"/>
        <c:scaling>
          <c:orientation val="minMax"/>
          <c:max val="8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crossAx val="219711360"/>
        <c:crosses val="autoZero"/>
        <c:crossBetween val="between"/>
        <c:majorUnit val="100"/>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chemeClr val="accent1">
                <a:lumMod val="50000"/>
              </a:schemeClr>
            </a:solidFill>
            <a:ln>
              <a:noFill/>
            </a:ln>
            <a:effectLst/>
          </c:spPr>
          <c:invertIfNegative val="0"/>
          <c:cat>
            <c:numRef>
              <c:f>'Figura 8'!$A$64:$A$94</c:f>
              <c:numCache>
                <c:formatCode>d\-mmm</c:formatCode>
                <c:ptCount val="31"/>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numCache>
            </c:numRef>
          </c:cat>
          <c:val>
            <c:numRef>
              <c:f>'Figura 8'!$H$64:$H$94</c:f>
              <c:numCache>
                <c:formatCode>General</c:formatCode>
                <c:ptCount val="31"/>
                <c:pt idx="0">
                  <c:v>711</c:v>
                </c:pt>
                <c:pt idx="1">
                  <c:v>760</c:v>
                </c:pt>
                <c:pt idx="2">
                  <c:v>801</c:v>
                </c:pt>
                <c:pt idx="3">
                  <c:v>772</c:v>
                </c:pt>
                <c:pt idx="4">
                  <c:v>844</c:v>
                </c:pt>
                <c:pt idx="5">
                  <c:v>936</c:v>
                </c:pt>
                <c:pt idx="6">
                  <c:v>936</c:v>
                </c:pt>
                <c:pt idx="7">
                  <c:v>982</c:v>
                </c:pt>
                <c:pt idx="8">
                  <c:v>1068</c:v>
                </c:pt>
                <c:pt idx="9">
                  <c:v>1193</c:v>
                </c:pt>
                <c:pt idx="10">
                  <c:v>1226</c:v>
                </c:pt>
                <c:pt idx="11">
                  <c:v>1259</c:v>
                </c:pt>
                <c:pt idx="12">
                  <c:v>1355</c:v>
                </c:pt>
                <c:pt idx="13">
                  <c:v>1415</c:v>
                </c:pt>
                <c:pt idx="14">
                  <c:v>1378</c:v>
                </c:pt>
                <c:pt idx="15">
                  <c:v>1522</c:v>
                </c:pt>
                <c:pt idx="16">
                  <c:v>1598</c:v>
                </c:pt>
                <c:pt idx="17">
                  <c:v>1700</c:v>
                </c:pt>
                <c:pt idx="18">
                  <c:v>1803</c:v>
                </c:pt>
                <c:pt idx="19">
                  <c:v>1785</c:v>
                </c:pt>
                <c:pt idx="20">
                  <c:v>1869</c:v>
                </c:pt>
                <c:pt idx="21">
                  <c:v>1875</c:v>
                </c:pt>
                <c:pt idx="22">
                  <c:v>1883</c:v>
                </c:pt>
                <c:pt idx="23">
                  <c:v>1856</c:v>
                </c:pt>
                <c:pt idx="24">
                  <c:v>1856</c:v>
                </c:pt>
                <c:pt idx="25">
                  <c:v>1833</c:v>
                </c:pt>
                <c:pt idx="26">
                  <c:v>1847</c:v>
                </c:pt>
                <c:pt idx="27">
                  <c:v>1820</c:v>
                </c:pt>
                <c:pt idx="28">
                  <c:v>1702</c:v>
                </c:pt>
                <c:pt idx="29">
                  <c:v>1651</c:v>
                </c:pt>
                <c:pt idx="30">
                  <c:v>1501</c:v>
                </c:pt>
              </c:numCache>
            </c:numRef>
          </c:val>
          <c:extLst xmlns:c16r2="http://schemas.microsoft.com/office/drawing/2015/06/chart">
            <c:ext xmlns:c16="http://schemas.microsoft.com/office/drawing/2014/chart" uri="{C3380CC4-5D6E-409C-BE32-E72D297353CC}">
              <c16:uniqueId val="{00000000-B88D-4E85-80C0-062CDAC17BE4}"/>
            </c:ext>
          </c:extLst>
        </c:ser>
        <c:ser>
          <c:idx val="1"/>
          <c:order val="1"/>
          <c:spPr>
            <a:solidFill>
              <a:srgbClr val="FF0000"/>
            </a:solidFill>
            <a:ln>
              <a:noFill/>
            </a:ln>
            <a:effectLst/>
          </c:spPr>
          <c:invertIfNegative val="0"/>
          <c:cat>
            <c:numRef>
              <c:f>'Figura 8'!$A$64:$A$94</c:f>
              <c:numCache>
                <c:formatCode>d\-mmm</c:formatCode>
                <c:ptCount val="31"/>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numCache>
            </c:numRef>
          </c:cat>
          <c:val>
            <c:numRef>
              <c:f>'Figura 8'!$I$64:$I$94</c:f>
              <c:numCache>
                <c:formatCode>General</c:formatCode>
                <c:ptCount val="31"/>
                <c:pt idx="0">
                  <c:v>7</c:v>
                </c:pt>
                <c:pt idx="1">
                  <c:v>11</c:v>
                </c:pt>
                <c:pt idx="2">
                  <c:v>7</c:v>
                </c:pt>
                <c:pt idx="3">
                  <c:v>10</c:v>
                </c:pt>
                <c:pt idx="4">
                  <c:v>6</c:v>
                </c:pt>
                <c:pt idx="5">
                  <c:v>8</c:v>
                </c:pt>
                <c:pt idx="6">
                  <c:v>11</c:v>
                </c:pt>
                <c:pt idx="7">
                  <c:v>13</c:v>
                </c:pt>
                <c:pt idx="8">
                  <c:v>21</c:v>
                </c:pt>
                <c:pt idx="9">
                  <c:v>22</c:v>
                </c:pt>
                <c:pt idx="10">
                  <c:v>15</c:v>
                </c:pt>
                <c:pt idx="11">
                  <c:v>22</c:v>
                </c:pt>
                <c:pt idx="12">
                  <c:v>25</c:v>
                </c:pt>
                <c:pt idx="13">
                  <c:v>29</c:v>
                </c:pt>
                <c:pt idx="14">
                  <c:v>24</c:v>
                </c:pt>
                <c:pt idx="15">
                  <c:v>37</c:v>
                </c:pt>
                <c:pt idx="16">
                  <c:v>34</c:v>
                </c:pt>
                <c:pt idx="17">
                  <c:v>36</c:v>
                </c:pt>
                <c:pt idx="18">
                  <c:v>42</c:v>
                </c:pt>
                <c:pt idx="19">
                  <c:v>45</c:v>
                </c:pt>
                <c:pt idx="20">
                  <c:v>50</c:v>
                </c:pt>
                <c:pt idx="21">
                  <c:v>55</c:v>
                </c:pt>
                <c:pt idx="22">
                  <c:v>48</c:v>
                </c:pt>
                <c:pt idx="23">
                  <c:v>55</c:v>
                </c:pt>
                <c:pt idx="24">
                  <c:v>62</c:v>
                </c:pt>
                <c:pt idx="25">
                  <c:v>63</c:v>
                </c:pt>
                <c:pt idx="26">
                  <c:v>84</c:v>
                </c:pt>
                <c:pt idx="27">
                  <c:v>106</c:v>
                </c:pt>
                <c:pt idx="28">
                  <c:v>92</c:v>
                </c:pt>
                <c:pt idx="29">
                  <c:v>106</c:v>
                </c:pt>
                <c:pt idx="30">
                  <c:v>115</c:v>
                </c:pt>
              </c:numCache>
            </c:numRef>
          </c:val>
          <c:extLst xmlns:c16r2="http://schemas.microsoft.com/office/drawing/2015/06/chart">
            <c:ext xmlns:c16="http://schemas.microsoft.com/office/drawing/2014/chart" uri="{C3380CC4-5D6E-409C-BE32-E72D297353CC}">
              <c16:uniqueId val="{00000001-B88D-4E85-80C0-062CDAC17BE4}"/>
            </c:ext>
          </c:extLst>
        </c:ser>
        <c:dLbls>
          <c:showLegendKey val="0"/>
          <c:showVal val="0"/>
          <c:showCatName val="0"/>
          <c:showSerName val="0"/>
          <c:showPercent val="0"/>
          <c:showBubbleSize val="0"/>
        </c:dLbls>
        <c:gapWidth val="80"/>
        <c:overlap val="100"/>
        <c:axId val="219747072"/>
        <c:axId val="219748608"/>
      </c:barChart>
      <c:dateAx>
        <c:axId val="219747072"/>
        <c:scaling>
          <c:orientation val="minMax"/>
        </c:scaling>
        <c:delete val="0"/>
        <c:axPos val="b"/>
        <c:majorGridlines>
          <c:spPr>
            <a:ln w="9525" cap="flat" cmpd="sng" algn="ctr">
              <a:solidFill>
                <a:schemeClr val="tx1">
                  <a:lumMod val="15000"/>
                  <a:lumOff val="85000"/>
                </a:schemeClr>
              </a:solidFill>
              <a:round/>
            </a:ln>
            <a:effectLst/>
          </c:spPr>
        </c:majorGridlines>
        <c:numFmt formatCode="d\-m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crossAx val="219748608"/>
        <c:crosses val="autoZero"/>
        <c:auto val="1"/>
        <c:lblOffset val="100"/>
        <c:baseTimeUnit val="days"/>
        <c:majorUnit val="1"/>
        <c:majorTimeUnit val="days"/>
      </c:dateAx>
      <c:valAx>
        <c:axId val="219748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crossAx val="219747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'Figura 9'!$B$1</c:f>
              <c:strCache>
                <c:ptCount val="1"/>
                <c:pt idx="0">
                  <c:v>eccesso di mortalità  2020 rispetto alla media 2015-2019</c:v>
                </c:pt>
              </c:strCache>
            </c:strRef>
          </c:tx>
          <c:spPr>
            <a:solidFill>
              <a:srgbClr val="002060"/>
            </a:solidFill>
            <a:ln>
              <a:noFill/>
            </a:ln>
            <a:effectLst/>
          </c:spPr>
          <c:invertIfNegative val="0"/>
          <c:cat>
            <c:numRef>
              <c:f>'Figura 9'!$A$2:$A$62</c:f>
              <c:numCache>
                <c:formatCode>d\-mmm</c:formatCode>
                <c:ptCount val="61"/>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pt idx="31">
                  <c:v>43922</c:v>
                </c:pt>
                <c:pt idx="32">
                  <c:v>43923</c:v>
                </c:pt>
                <c:pt idx="33">
                  <c:v>43924</c:v>
                </c:pt>
                <c:pt idx="34">
                  <c:v>43925</c:v>
                </c:pt>
                <c:pt idx="35">
                  <c:v>43926</c:v>
                </c:pt>
                <c:pt idx="36">
                  <c:v>43927</c:v>
                </c:pt>
                <c:pt idx="37">
                  <c:v>43928</c:v>
                </c:pt>
                <c:pt idx="38">
                  <c:v>43929</c:v>
                </c:pt>
                <c:pt idx="39">
                  <c:v>43930</c:v>
                </c:pt>
                <c:pt idx="40">
                  <c:v>43931</c:v>
                </c:pt>
                <c:pt idx="41">
                  <c:v>43932</c:v>
                </c:pt>
                <c:pt idx="42">
                  <c:v>43933</c:v>
                </c:pt>
                <c:pt idx="43">
                  <c:v>43934</c:v>
                </c:pt>
                <c:pt idx="44">
                  <c:v>43935</c:v>
                </c:pt>
                <c:pt idx="45">
                  <c:v>43936</c:v>
                </c:pt>
                <c:pt idx="46">
                  <c:v>43937</c:v>
                </c:pt>
                <c:pt idx="47">
                  <c:v>43938</c:v>
                </c:pt>
                <c:pt idx="48">
                  <c:v>43939</c:v>
                </c:pt>
                <c:pt idx="49">
                  <c:v>43940</c:v>
                </c:pt>
                <c:pt idx="50">
                  <c:v>43941</c:v>
                </c:pt>
                <c:pt idx="51">
                  <c:v>43942</c:v>
                </c:pt>
                <c:pt idx="52">
                  <c:v>43943</c:v>
                </c:pt>
                <c:pt idx="53">
                  <c:v>43944</c:v>
                </c:pt>
                <c:pt idx="54">
                  <c:v>43945</c:v>
                </c:pt>
                <c:pt idx="55">
                  <c:v>43946</c:v>
                </c:pt>
                <c:pt idx="56">
                  <c:v>43947</c:v>
                </c:pt>
                <c:pt idx="57">
                  <c:v>43948</c:v>
                </c:pt>
                <c:pt idx="58">
                  <c:v>43949</c:v>
                </c:pt>
                <c:pt idx="59">
                  <c:v>43950</c:v>
                </c:pt>
                <c:pt idx="60">
                  <c:v>43951</c:v>
                </c:pt>
              </c:numCache>
            </c:numRef>
          </c:cat>
          <c:val>
            <c:numRef>
              <c:f>'Figura 9'!$B$2:$B$62</c:f>
              <c:numCache>
                <c:formatCode>General</c:formatCode>
                <c:ptCount val="61"/>
                <c:pt idx="0">
                  <c:v>18</c:v>
                </c:pt>
                <c:pt idx="1">
                  <c:v>56.400000000000006</c:v>
                </c:pt>
                <c:pt idx="2">
                  <c:v>78.8</c:v>
                </c:pt>
                <c:pt idx="3">
                  <c:v>81.400000000000006</c:v>
                </c:pt>
                <c:pt idx="4">
                  <c:v>79.399999999999991</c:v>
                </c:pt>
                <c:pt idx="5">
                  <c:v>158.80000000000001</c:v>
                </c:pt>
                <c:pt idx="6">
                  <c:v>201.60000000000002</c:v>
                </c:pt>
                <c:pt idx="7">
                  <c:v>248</c:v>
                </c:pt>
                <c:pt idx="8">
                  <c:v>311.60000000000002</c:v>
                </c:pt>
                <c:pt idx="9">
                  <c:v>372.2</c:v>
                </c:pt>
                <c:pt idx="10">
                  <c:v>424.2</c:v>
                </c:pt>
                <c:pt idx="11">
                  <c:v>430.00000000000006</c:v>
                </c:pt>
                <c:pt idx="12">
                  <c:v>492.59999999999997</c:v>
                </c:pt>
                <c:pt idx="13">
                  <c:v>543.4</c:v>
                </c:pt>
                <c:pt idx="14">
                  <c:v>511.6</c:v>
                </c:pt>
                <c:pt idx="15">
                  <c:v>602.79999999999995</c:v>
                </c:pt>
                <c:pt idx="16">
                  <c:v>720.40000000000009</c:v>
                </c:pt>
                <c:pt idx="17">
                  <c:v>718.39999999999986</c:v>
                </c:pt>
                <c:pt idx="18">
                  <c:v>836.4</c:v>
                </c:pt>
                <c:pt idx="19">
                  <c:v>781.39999999999986</c:v>
                </c:pt>
                <c:pt idx="20">
                  <c:v>852</c:v>
                </c:pt>
                <c:pt idx="21">
                  <c:v>826.8</c:v>
                </c:pt>
                <c:pt idx="22">
                  <c:v>826.19999999999993</c:v>
                </c:pt>
                <c:pt idx="23">
                  <c:v>809.2</c:v>
                </c:pt>
                <c:pt idx="24">
                  <c:v>791.40000000000009</c:v>
                </c:pt>
                <c:pt idx="25">
                  <c:v>775.59999999999991</c:v>
                </c:pt>
                <c:pt idx="26">
                  <c:v>829.19999999999993</c:v>
                </c:pt>
                <c:pt idx="27">
                  <c:v>778.8</c:v>
                </c:pt>
                <c:pt idx="28">
                  <c:v>729.59999999999991</c:v>
                </c:pt>
                <c:pt idx="29">
                  <c:v>678</c:v>
                </c:pt>
                <c:pt idx="30">
                  <c:v>590.80000000000007</c:v>
                </c:pt>
                <c:pt idx="31">
                  <c:v>557.6</c:v>
                </c:pt>
                <c:pt idx="32">
                  <c:v>550.79999999999995</c:v>
                </c:pt>
                <c:pt idx="33">
                  <c:v>499.2</c:v>
                </c:pt>
                <c:pt idx="34">
                  <c:v>468</c:v>
                </c:pt>
                <c:pt idx="35">
                  <c:v>423.59999999999997</c:v>
                </c:pt>
                <c:pt idx="36">
                  <c:v>414.2</c:v>
                </c:pt>
                <c:pt idx="37">
                  <c:v>462.20000000000005</c:v>
                </c:pt>
                <c:pt idx="38">
                  <c:v>429.59999999999997</c:v>
                </c:pt>
                <c:pt idx="39">
                  <c:v>302.60000000000002</c:v>
                </c:pt>
                <c:pt idx="40">
                  <c:v>340.2</c:v>
                </c:pt>
                <c:pt idx="41">
                  <c:v>368.39999999999992</c:v>
                </c:pt>
                <c:pt idx="42">
                  <c:v>328.8</c:v>
                </c:pt>
                <c:pt idx="43">
                  <c:v>354.8</c:v>
                </c:pt>
                <c:pt idx="44">
                  <c:v>341</c:v>
                </c:pt>
                <c:pt idx="45">
                  <c:v>257.2</c:v>
                </c:pt>
                <c:pt idx="46">
                  <c:v>229.8</c:v>
                </c:pt>
                <c:pt idx="47">
                  <c:v>228.79999999999998</c:v>
                </c:pt>
                <c:pt idx="48">
                  <c:v>248.8</c:v>
                </c:pt>
                <c:pt idx="49">
                  <c:v>221.6</c:v>
                </c:pt>
                <c:pt idx="50">
                  <c:v>223.4</c:v>
                </c:pt>
                <c:pt idx="51">
                  <c:v>158.20000000000002</c:v>
                </c:pt>
                <c:pt idx="52">
                  <c:v>111</c:v>
                </c:pt>
                <c:pt idx="53">
                  <c:v>133</c:v>
                </c:pt>
                <c:pt idx="54">
                  <c:v>137.6</c:v>
                </c:pt>
                <c:pt idx="55">
                  <c:v>126.80000000000001</c:v>
                </c:pt>
                <c:pt idx="56">
                  <c:v>113.8</c:v>
                </c:pt>
                <c:pt idx="57">
                  <c:v>98.8</c:v>
                </c:pt>
                <c:pt idx="58">
                  <c:v>108.6</c:v>
                </c:pt>
                <c:pt idx="59">
                  <c:v>71.8</c:v>
                </c:pt>
                <c:pt idx="60">
                  <c:v>71.600000000000009</c:v>
                </c:pt>
              </c:numCache>
            </c:numRef>
          </c:val>
          <c:extLst xmlns:c16r2="http://schemas.microsoft.com/office/drawing/2015/06/chart">
            <c:ext xmlns:c16="http://schemas.microsoft.com/office/drawing/2014/chart" uri="{C3380CC4-5D6E-409C-BE32-E72D297353CC}">
              <c16:uniqueId val="{00000000-6DE0-427C-83C7-CBE5A8E1B025}"/>
            </c:ext>
          </c:extLst>
        </c:ser>
        <c:ser>
          <c:idx val="1"/>
          <c:order val="1"/>
          <c:tx>
            <c:strRef>
              <c:f>'Figura 9'!$C$1</c:f>
              <c:strCache>
                <c:ptCount val="1"/>
                <c:pt idx="0">
                  <c:v>decessi covid-19</c:v>
                </c:pt>
              </c:strCache>
            </c:strRef>
          </c:tx>
          <c:spPr>
            <a:solidFill>
              <a:srgbClr val="FFC000"/>
            </a:solidFill>
            <a:ln>
              <a:noFill/>
            </a:ln>
            <a:effectLst/>
          </c:spPr>
          <c:invertIfNegative val="0"/>
          <c:cat>
            <c:numRef>
              <c:f>'Figura 9'!$A$2:$A$62</c:f>
              <c:numCache>
                <c:formatCode>d\-mmm</c:formatCode>
                <c:ptCount val="61"/>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pt idx="31">
                  <c:v>43922</c:v>
                </c:pt>
                <c:pt idx="32">
                  <c:v>43923</c:v>
                </c:pt>
                <c:pt idx="33">
                  <c:v>43924</c:v>
                </c:pt>
                <c:pt idx="34">
                  <c:v>43925</c:v>
                </c:pt>
                <c:pt idx="35">
                  <c:v>43926</c:v>
                </c:pt>
                <c:pt idx="36">
                  <c:v>43927</c:v>
                </c:pt>
                <c:pt idx="37">
                  <c:v>43928</c:v>
                </c:pt>
                <c:pt idx="38">
                  <c:v>43929</c:v>
                </c:pt>
                <c:pt idx="39">
                  <c:v>43930</c:v>
                </c:pt>
                <c:pt idx="40">
                  <c:v>43931</c:v>
                </c:pt>
                <c:pt idx="41">
                  <c:v>43932</c:v>
                </c:pt>
                <c:pt idx="42">
                  <c:v>43933</c:v>
                </c:pt>
                <c:pt idx="43">
                  <c:v>43934</c:v>
                </c:pt>
                <c:pt idx="44">
                  <c:v>43935</c:v>
                </c:pt>
                <c:pt idx="45">
                  <c:v>43936</c:v>
                </c:pt>
                <c:pt idx="46">
                  <c:v>43937</c:v>
                </c:pt>
                <c:pt idx="47">
                  <c:v>43938</c:v>
                </c:pt>
                <c:pt idx="48">
                  <c:v>43939</c:v>
                </c:pt>
                <c:pt idx="49">
                  <c:v>43940</c:v>
                </c:pt>
                <c:pt idx="50">
                  <c:v>43941</c:v>
                </c:pt>
                <c:pt idx="51">
                  <c:v>43942</c:v>
                </c:pt>
                <c:pt idx="52">
                  <c:v>43943</c:v>
                </c:pt>
                <c:pt idx="53">
                  <c:v>43944</c:v>
                </c:pt>
                <c:pt idx="54">
                  <c:v>43945</c:v>
                </c:pt>
                <c:pt idx="55">
                  <c:v>43946</c:v>
                </c:pt>
                <c:pt idx="56">
                  <c:v>43947</c:v>
                </c:pt>
                <c:pt idx="57">
                  <c:v>43948</c:v>
                </c:pt>
                <c:pt idx="58">
                  <c:v>43949</c:v>
                </c:pt>
                <c:pt idx="59">
                  <c:v>43950</c:v>
                </c:pt>
                <c:pt idx="60">
                  <c:v>43951</c:v>
                </c:pt>
              </c:numCache>
            </c:numRef>
          </c:cat>
          <c:val>
            <c:numRef>
              <c:f>'Figura 9'!$C$2:$C$62</c:f>
              <c:numCache>
                <c:formatCode>General</c:formatCode>
                <c:ptCount val="61"/>
                <c:pt idx="0">
                  <c:v>18</c:v>
                </c:pt>
                <c:pt idx="1">
                  <c:v>18</c:v>
                </c:pt>
                <c:pt idx="2">
                  <c:v>45</c:v>
                </c:pt>
                <c:pt idx="3">
                  <c:v>39</c:v>
                </c:pt>
                <c:pt idx="4">
                  <c:v>63</c:v>
                </c:pt>
                <c:pt idx="5">
                  <c:v>88</c:v>
                </c:pt>
                <c:pt idx="6">
                  <c:v>126</c:v>
                </c:pt>
                <c:pt idx="7">
                  <c:v>134</c:v>
                </c:pt>
                <c:pt idx="8">
                  <c:v>178</c:v>
                </c:pt>
                <c:pt idx="9">
                  <c:v>198</c:v>
                </c:pt>
                <c:pt idx="10">
                  <c:v>215</c:v>
                </c:pt>
                <c:pt idx="11">
                  <c:v>226</c:v>
                </c:pt>
                <c:pt idx="12">
                  <c:v>240</c:v>
                </c:pt>
                <c:pt idx="13">
                  <c:v>267</c:v>
                </c:pt>
                <c:pt idx="14">
                  <c:v>267</c:v>
                </c:pt>
                <c:pt idx="15">
                  <c:v>326</c:v>
                </c:pt>
                <c:pt idx="16">
                  <c:v>382</c:v>
                </c:pt>
                <c:pt idx="17">
                  <c:v>370</c:v>
                </c:pt>
                <c:pt idx="18">
                  <c:v>387</c:v>
                </c:pt>
                <c:pt idx="19">
                  <c:v>407</c:v>
                </c:pt>
                <c:pt idx="20">
                  <c:v>460</c:v>
                </c:pt>
                <c:pt idx="21">
                  <c:v>417</c:v>
                </c:pt>
                <c:pt idx="22">
                  <c:v>430</c:v>
                </c:pt>
                <c:pt idx="23">
                  <c:v>408</c:v>
                </c:pt>
                <c:pt idx="24">
                  <c:v>436</c:v>
                </c:pt>
                <c:pt idx="25">
                  <c:v>429</c:v>
                </c:pt>
                <c:pt idx="26">
                  <c:v>424</c:v>
                </c:pt>
                <c:pt idx="27">
                  <c:v>432</c:v>
                </c:pt>
                <c:pt idx="28">
                  <c:v>370</c:v>
                </c:pt>
                <c:pt idx="29">
                  <c:v>334</c:v>
                </c:pt>
                <c:pt idx="30">
                  <c:v>303</c:v>
                </c:pt>
                <c:pt idx="31">
                  <c:v>322</c:v>
                </c:pt>
                <c:pt idx="32">
                  <c:v>290</c:v>
                </c:pt>
                <c:pt idx="33">
                  <c:v>275</c:v>
                </c:pt>
                <c:pt idx="34">
                  <c:v>269</c:v>
                </c:pt>
                <c:pt idx="35">
                  <c:v>246</c:v>
                </c:pt>
                <c:pt idx="36">
                  <c:v>225</c:v>
                </c:pt>
                <c:pt idx="37">
                  <c:v>256</c:v>
                </c:pt>
                <c:pt idx="38">
                  <c:v>253</c:v>
                </c:pt>
                <c:pt idx="39">
                  <c:v>218</c:v>
                </c:pt>
                <c:pt idx="40">
                  <c:v>221</c:v>
                </c:pt>
                <c:pt idx="41">
                  <c:v>237</c:v>
                </c:pt>
                <c:pt idx="42">
                  <c:v>211</c:v>
                </c:pt>
                <c:pt idx="43">
                  <c:v>210</c:v>
                </c:pt>
                <c:pt idx="44">
                  <c:v>216</c:v>
                </c:pt>
                <c:pt idx="45">
                  <c:v>199</c:v>
                </c:pt>
                <c:pt idx="46">
                  <c:v>180</c:v>
                </c:pt>
                <c:pt idx="47">
                  <c:v>176</c:v>
                </c:pt>
                <c:pt idx="48">
                  <c:v>172</c:v>
                </c:pt>
                <c:pt idx="49">
                  <c:v>176</c:v>
                </c:pt>
                <c:pt idx="50">
                  <c:v>173</c:v>
                </c:pt>
                <c:pt idx="51">
                  <c:v>147</c:v>
                </c:pt>
                <c:pt idx="52">
                  <c:v>139</c:v>
                </c:pt>
                <c:pt idx="53">
                  <c:v>134</c:v>
                </c:pt>
                <c:pt idx="54">
                  <c:v>142</c:v>
                </c:pt>
                <c:pt idx="55">
                  <c:v>133</c:v>
                </c:pt>
                <c:pt idx="56">
                  <c:v>130</c:v>
                </c:pt>
                <c:pt idx="57">
                  <c:v>123</c:v>
                </c:pt>
                <c:pt idx="58">
                  <c:v>127</c:v>
                </c:pt>
                <c:pt idx="59">
                  <c:v>127</c:v>
                </c:pt>
                <c:pt idx="60">
                  <c:v>105</c:v>
                </c:pt>
              </c:numCache>
            </c:numRef>
          </c:val>
          <c:extLst xmlns:c16r2="http://schemas.microsoft.com/office/drawing/2015/06/chart">
            <c:ext xmlns:c16="http://schemas.microsoft.com/office/drawing/2014/chart" uri="{C3380CC4-5D6E-409C-BE32-E72D297353CC}">
              <c16:uniqueId val="{00000001-6DE0-427C-83C7-CBE5A8E1B025}"/>
            </c:ext>
          </c:extLst>
        </c:ser>
        <c:dLbls>
          <c:showLegendKey val="0"/>
          <c:showVal val="0"/>
          <c:showCatName val="0"/>
          <c:showSerName val="0"/>
          <c:showPercent val="0"/>
          <c:showBubbleSize val="0"/>
        </c:dLbls>
        <c:gapWidth val="80"/>
        <c:axId val="219741184"/>
        <c:axId val="219820800"/>
      </c:barChart>
      <c:dateAx>
        <c:axId val="219741184"/>
        <c:scaling>
          <c:orientation val="minMax"/>
        </c:scaling>
        <c:delete val="0"/>
        <c:axPos val="b"/>
        <c:majorGridlines>
          <c:spPr>
            <a:ln w="9525" cap="flat" cmpd="sng" algn="ctr">
              <a:solidFill>
                <a:schemeClr val="tx1">
                  <a:lumMod val="15000"/>
                  <a:lumOff val="85000"/>
                </a:schemeClr>
              </a:solidFill>
              <a:round/>
            </a:ln>
            <a:effectLst/>
          </c:spPr>
        </c:majorGridlines>
        <c:numFmt formatCode="d\-m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crossAx val="219820800"/>
        <c:crosses val="autoZero"/>
        <c:auto val="1"/>
        <c:lblOffset val="100"/>
        <c:baseTimeUnit val="days"/>
      </c:dateAx>
      <c:valAx>
        <c:axId val="219820800"/>
        <c:scaling>
          <c:orientation val="minMax"/>
          <c:max val="9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crossAx val="219741184"/>
        <c:crosses val="autoZero"/>
        <c:crossBetween val="between"/>
        <c:majorUnit val="100"/>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'Figura 10'!$B$1</c:f>
              <c:strCache>
                <c:ptCount val="1"/>
                <c:pt idx="0">
                  <c:v>eccesso di mortalità  2020 rispetto alla media 2015-2019</c:v>
                </c:pt>
              </c:strCache>
            </c:strRef>
          </c:tx>
          <c:spPr>
            <a:solidFill>
              <a:srgbClr val="002060"/>
            </a:solidFill>
            <a:ln>
              <a:noFill/>
            </a:ln>
            <a:effectLst/>
          </c:spPr>
          <c:invertIfNegative val="0"/>
          <c:cat>
            <c:numRef>
              <c:f>'Figura 10'!$A$2:$A$62</c:f>
              <c:numCache>
                <c:formatCode>d\-mmm</c:formatCode>
                <c:ptCount val="61"/>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pt idx="31">
                  <c:v>43922</c:v>
                </c:pt>
                <c:pt idx="32">
                  <c:v>43923</c:v>
                </c:pt>
                <c:pt idx="33">
                  <c:v>43924</c:v>
                </c:pt>
                <c:pt idx="34">
                  <c:v>43925</c:v>
                </c:pt>
                <c:pt idx="35">
                  <c:v>43926</c:v>
                </c:pt>
                <c:pt idx="36">
                  <c:v>43927</c:v>
                </c:pt>
                <c:pt idx="37">
                  <c:v>43928</c:v>
                </c:pt>
                <c:pt idx="38">
                  <c:v>43929</c:v>
                </c:pt>
                <c:pt idx="39">
                  <c:v>43930</c:v>
                </c:pt>
                <c:pt idx="40">
                  <c:v>43931</c:v>
                </c:pt>
                <c:pt idx="41">
                  <c:v>43932</c:v>
                </c:pt>
                <c:pt idx="42">
                  <c:v>43933</c:v>
                </c:pt>
                <c:pt idx="43">
                  <c:v>43934</c:v>
                </c:pt>
                <c:pt idx="44">
                  <c:v>43935</c:v>
                </c:pt>
                <c:pt idx="45">
                  <c:v>43936</c:v>
                </c:pt>
                <c:pt idx="46">
                  <c:v>43937</c:v>
                </c:pt>
                <c:pt idx="47">
                  <c:v>43938</c:v>
                </c:pt>
                <c:pt idx="48">
                  <c:v>43939</c:v>
                </c:pt>
                <c:pt idx="49">
                  <c:v>43940</c:v>
                </c:pt>
                <c:pt idx="50">
                  <c:v>43941</c:v>
                </c:pt>
                <c:pt idx="51">
                  <c:v>43942</c:v>
                </c:pt>
                <c:pt idx="52">
                  <c:v>43943</c:v>
                </c:pt>
                <c:pt idx="53">
                  <c:v>43944</c:v>
                </c:pt>
                <c:pt idx="54">
                  <c:v>43945</c:v>
                </c:pt>
                <c:pt idx="55">
                  <c:v>43946</c:v>
                </c:pt>
                <c:pt idx="56">
                  <c:v>43947</c:v>
                </c:pt>
                <c:pt idx="57">
                  <c:v>43948</c:v>
                </c:pt>
                <c:pt idx="58">
                  <c:v>43949</c:v>
                </c:pt>
                <c:pt idx="59">
                  <c:v>43950</c:v>
                </c:pt>
                <c:pt idx="60">
                  <c:v>43951</c:v>
                </c:pt>
              </c:numCache>
            </c:numRef>
          </c:cat>
          <c:val>
            <c:numRef>
              <c:f>'Figura 10'!$B$2:$B$62</c:f>
              <c:numCache>
                <c:formatCode>General</c:formatCode>
                <c:ptCount val="61"/>
                <c:pt idx="0">
                  <c:v>-5.0000000000000018</c:v>
                </c:pt>
                <c:pt idx="1">
                  <c:v>29.6</c:v>
                </c:pt>
                <c:pt idx="2">
                  <c:v>8.4</c:v>
                </c:pt>
                <c:pt idx="3">
                  <c:v>-2.2000000000000002</c:v>
                </c:pt>
                <c:pt idx="4">
                  <c:v>6.8000000000000007</c:v>
                </c:pt>
                <c:pt idx="5">
                  <c:v>40.6</c:v>
                </c:pt>
                <c:pt idx="6">
                  <c:v>17.200000000000003</c:v>
                </c:pt>
                <c:pt idx="7">
                  <c:v>28.799999999999997</c:v>
                </c:pt>
                <c:pt idx="8">
                  <c:v>38.799999999999997</c:v>
                </c:pt>
                <c:pt idx="9">
                  <c:v>52.6</c:v>
                </c:pt>
                <c:pt idx="10">
                  <c:v>101.99999999999999</c:v>
                </c:pt>
                <c:pt idx="11">
                  <c:v>75.399999999999991</c:v>
                </c:pt>
                <c:pt idx="12">
                  <c:v>110.80000000000001</c:v>
                </c:pt>
                <c:pt idx="13">
                  <c:v>140.19999999999999</c:v>
                </c:pt>
                <c:pt idx="14">
                  <c:v>131.19999999999999</c:v>
                </c:pt>
                <c:pt idx="15">
                  <c:v>89</c:v>
                </c:pt>
                <c:pt idx="16">
                  <c:v>111.39999999999999</c:v>
                </c:pt>
                <c:pt idx="17">
                  <c:v>164</c:v>
                </c:pt>
                <c:pt idx="18">
                  <c:v>151.20000000000002</c:v>
                </c:pt>
                <c:pt idx="19">
                  <c:v>142.80000000000001</c:v>
                </c:pt>
                <c:pt idx="20">
                  <c:v>173.2</c:v>
                </c:pt>
                <c:pt idx="21">
                  <c:v>165.8</c:v>
                </c:pt>
                <c:pt idx="22">
                  <c:v>196.8</c:v>
                </c:pt>
                <c:pt idx="23">
                  <c:v>134</c:v>
                </c:pt>
                <c:pt idx="24">
                  <c:v>166.8</c:v>
                </c:pt>
                <c:pt idx="25">
                  <c:v>168.6</c:v>
                </c:pt>
                <c:pt idx="26">
                  <c:v>142.79999999999998</c:v>
                </c:pt>
                <c:pt idx="27">
                  <c:v>186.4</c:v>
                </c:pt>
                <c:pt idx="28">
                  <c:v>86.199999999999989</c:v>
                </c:pt>
                <c:pt idx="29">
                  <c:v>135.60000000000002</c:v>
                </c:pt>
                <c:pt idx="30">
                  <c:v>115.19999999999999</c:v>
                </c:pt>
                <c:pt idx="31">
                  <c:v>92.6</c:v>
                </c:pt>
                <c:pt idx="32">
                  <c:v>110.39999999999999</c:v>
                </c:pt>
                <c:pt idx="33">
                  <c:v>93.8</c:v>
                </c:pt>
                <c:pt idx="34">
                  <c:v>114</c:v>
                </c:pt>
                <c:pt idx="35">
                  <c:v>102.2</c:v>
                </c:pt>
                <c:pt idx="36">
                  <c:v>77.2</c:v>
                </c:pt>
                <c:pt idx="37">
                  <c:v>79.199999999999989</c:v>
                </c:pt>
                <c:pt idx="38">
                  <c:v>100.8</c:v>
                </c:pt>
                <c:pt idx="39">
                  <c:v>73.2</c:v>
                </c:pt>
                <c:pt idx="40">
                  <c:v>101.4</c:v>
                </c:pt>
                <c:pt idx="41">
                  <c:v>87</c:v>
                </c:pt>
                <c:pt idx="42">
                  <c:v>87.600000000000009</c:v>
                </c:pt>
                <c:pt idx="43">
                  <c:v>83.2</c:v>
                </c:pt>
                <c:pt idx="44">
                  <c:v>93.2</c:v>
                </c:pt>
                <c:pt idx="45">
                  <c:v>63.6</c:v>
                </c:pt>
                <c:pt idx="46">
                  <c:v>57.599999999999994</c:v>
                </c:pt>
                <c:pt idx="47">
                  <c:v>50.400000000000006</c:v>
                </c:pt>
                <c:pt idx="48">
                  <c:v>74.8</c:v>
                </c:pt>
                <c:pt idx="49">
                  <c:v>47.79999999999999</c:v>
                </c:pt>
                <c:pt idx="50">
                  <c:v>53.20000000000001</c:v>
                </c:pt>
                <c:pt idx="51">
                  <c:v>44.800000000000004</c:v>
                </c:pt>
                <c:pt idx="52">
                  <c:v>52.8</c:v>
                </c:pt>
                <c:pt idx="53">
                  <c:v>30.8</c:v>
                </c:pt>
                <c:pt idx="54">
                  <c:v>33.79999999999999</c:v>
                </c:pt>
                <c:pt idx="55">
                  <c:v>49.2</c:v>
                </c:pt>
                <c:pt idx="56">
                  <c:v>43.000000000000007</c:v>
                </c:pt>
                <c:pt idx="57">
                  <c:v>41.800000000000004</c:v>
                </c:pt>
                <c:pt idx="58">
                  <c:v>30.8</c:v>
                </c:pt>
                <c:pt idx="59">
                  <c:v>20</c:v>
                </c:pt>
                <c:pt idx="60">
                  <c:v>24.400000000000002</c:v>
                </c:pt>
              </c:numCache>
            </c:numRef>
          </c:val>
          <c:extLst xmlns:c16r2="http://schemas.microsoft.com/office/drawing/2015/06/chart">
            <c:ext xmlns:c16="http://schemas.microsoft.com/office/drawing/2014/chart" uri="{C3380CC4-5D6E-409C-BE32-E72D297353CC}">
              <c16:uniqueId val="{00000000-4A49-432E-821F-BE10B1E36710}"/>
            </c:ext>
          </c:extLst>
        </c:ser>
        <c:ser>
          <c:idx val="1"/>
          <c:order val="1"/>
          <c:tx>
            <c:strRef>
              <c:f>'Figura 10'!$C$1</c:f>
              <c:strCache>
                <c:ptCount val="1"/>
                <c:pt idx="0">
                  <c:v>decessi covid-19</c:v>
                </c:pt>
              </c:strCache>
            </c:strRef>
          </c:tx>
          <c:spPr>
            <a:solidFill>
              <a:srgbClr val="FFC000"/>
            </a:solidFill>
            <a:ln>
              <a:noFill/>
            </a:ln>
            <a:effectLst/>
          </c:spPr>
          <c:invertIfNegative val="0"/>
          <c:cat>
            <c:numRef>
              <c:f>'Figura 10'!$A$2:$A$62</c:f>
              <c:numCache>
                <c:formatCode>d\-mmm</c:formatCode>
                <c:ptCount val="61"/>
                <c:pt idx="0">
                  <c:v>43891</c:v>
                </c:pt>
                <c:pt idx="1">
                  <c:v>43892</c:v>
                </c:pt>
                <c:pt idx="2">
                  <c:v>43893</c:v>
                </c:pt>
                <c:pt idx="3">
                  <c:v>43894</c:v>
                </c:pt>
                <c:pt idx="4">
                  <c:v>43895</c:v>
                </c:pt>
                <c:pt idx="5">
                  <c:v>43896</c:v>
                </c:pt>
                <c:pt idx="6">
                  <c:v>43897</c:v>
                </c:pt>
                <c:pt idx="7">
                  <c:v>43898</c:v>
                </c:pt>
                <c:pt idx="8">
                  <c:v>43899</c:v>
                </c:pt>
                <c:pt idx="9">
                  <c:v>43900</c:v>
                </c:pt>
                <c:pt idx="10">
                  <c:v>43901</c:v>
                </c:pt>
                <c:pt idx="11">
                  <c:v>43902</c:v>
                </c:pt>
                <c:pt idx="12">
                  <c:v>43903</c:v>
                </c:pt>
                <c:pt idx="13">
                  <c:v>43904</c:v>
                </c:pt>
                <c:pt idx="14">
                  <c:v>43905</c:v>
                </c:pt>
                <c:pt idx="15">
                  <c:v>43906</c:v>
                </c:pt>
                <c:pt idx="16">
                  <c:v>43907</c:v>
                </c:pt>
                <c:pt idx="17">
                  <c:v>43908</c:v>
                </c:pt>
                <c:pt idx="18">
                  <c:v>43909</c:v>
                </c:pt>
                <c:pt idx="19">
                  <c:v>43910</c:v>
                </c:pt>
                <c:pt idx="20">
                  <c:v>43911</c:v>
                </c:pt>
                <c:pt idx="21">
                  <c:v>43912</c:v>
                </c:pt>
                <c:pt idx="22">
                  <c:v>43913</c:v>
                </c:pt>
                <c:pt idx="23">
                  <c:v>43914</c:v>
                </c:pt>
                <c:pt idx="24">
                  <c:v>43915</c:v>
                </c:pt>
                <c:pt idx="25">
                  <c:v>43916</c:v>
                </c:pt>
                <c:pt idx="26">
                  <c:v>43917</c:v>
                </c:pt>
                <c:pt idx="27">
                  <c:v>43918</c:v>
                </c:pt>
                <c:pt idx="28">
                  <c:v>43919</c:v>
                </c:pt>
                <c:pt idx="29">
                  <c:v>43920</c:v>
                </c:pt>
                <c:pt idx="30">
                  <c:v>43921</c:v>
                </c:pt>
                <c:pt idx="31">
                  <c:v>43922</c:v>
                </c:pt>
                <c:pt idx="32">
                  <c:v>43923</c:v>
                </c:pt>
                <c:pt idx="33">
                  <c:v>43924</c:v>
                </c:pt>
                <c:pt idx="34">
                  <c:v>43925</c:v>
                </c:pt>
                <c:pt idx="35">
                  <c:v>43926</c:v>
                </c:pt>
                <c:pt idx="36">
                  <c:v>43927</c:v>
                </c:pt>
                <c:pt idx="37">
                  <c:v>43928</c:v>
                </c:pt>
                <c:pt idx="38">
                  <c:v>43929</c:v>
                </c:pt>
                <c:pt idx="39">
                  <c:v>43930</c:v>
                </c:pt>
                <c:pt idx="40">
                  <c:v>43931</c:v>
                </c:pt>
                <c:pt idx="41">
                  <c:v>43932</c:v>
                </c:pt>
                <c:pt idx="42">
                  <c:v>43933</c:v>
                </c:pt>
                <c:pt idx="43">
                  <c:v>43934</c:v>
                </c:pt>
                <c:pt idx="44">
                  <c:v>43935</c:v>
                </c:pt>
                <c:pt idx="45">
                  <c:v>43936</c:v>
                </c:pt>
                <c:pt idx="46">
                  <c:v>43937</c:v>
                </c:pt>
                <c:pt idx="47">
                  <c:v>43938</c:v>
                </c:pt>
                <c:pt idx="48">
                  <c:v>43939</c:v>
                </c:pt>
                <c:pt idx="49">
                  <c:v>43940</c:v>
                </c:pt>
                <c:pt idx="50">
                  <c:v>43941</c:v>
                </c:pt>
                <c:pt idx="51">
                  <c:v>43942</c:v>
                </c:pt>
                <c:pt idx="52">
                  <c:v>43943</c:v>
                </c:pt>
                <c:pt idx="53">
                  <c:v>43944</c:v>
                </c:pt>
                <c:pt idx="54">
                  <c:v>43945</c:v>
                </c:pt>
                <c:pt idx="55">
                  <c:v>43946</c:v>
                </c:pt>
                <c:pt idx="56">
                  <c:v>43947</c:v>
                </c:pt>
                <c:pt idx="57">
                  <c:v>43948</c:v>
                </c:pt>
                <c:pt idx="58">
                  <c:v>43949</c:v>
                </c:pt>
                <c:pt idx="59">
                  <c:v>43950</c:v>
                </c:pt>
                <c:pt idx="60">
                  <c:v>43951</c:v>
                </c:pt>
              </c:numCache>
            </c:numRef>
          </c:cat>
          <c:val>
            <c:numRef>
              <c:f>'Figura 10'!$C$2:$C$62</c:f>
              <c:numCache>
                <c:formatCode>General</c:formatCode>
                <c:ptCount val="61"/>
                <c:pt idx="0">
                  <c:v>3</c:v>
                </c:pt>
                <c:pt idx="1">
                  <c:v>3</c:v>
                </c:pt>
                <c:pt idx="2">
                  <c:v>5</c:v>
                </c:pt>
                <c:pt idx="3">
                  <c:v>12</c:v>
                </c:pt>
                <c:pt idx="4">
                  <c:v>11</c:v>
                </c:pt>
                <c:pt idx="5">
                  <c:v>10</c:v>
                </c:pt>
                <c:pt idx="6">
                  <c:v>21</c:v>
                </c:pt>
                <c:pt idx="7">
                  <c:v>21</c:v>
                </c:pt>
                <c:pt idx="8">
                  <c:v>23</c:v>
                </c:pt>
                <c:pt idx="9">
                  <c:v>49</c:v>
                </c:pt>
                <c:pt idx="10">
                  <c:v>58</c:v>
                </c:pt>
                <c:pt idx="11">
                  <c:v>49</c:v>
                </c:pt>
                <c:pt idx="12">
                  <c:v>54</c:v>
                </c:pt>
                <c:pt idx="13">
                  <c:v>86</c:v>
                </c:pt>
                <c:pt idx="14">
                  <c:v>59</c:v>
                </c:pt>
                <c:pt idx="15">
                  <c:v>67</c:v>
                </c:pt>
                <c:pt idx="16">
                  <c:v>57</c:v>
                </c:pt>
                <c:pt idx="17">
                  <c:v>87</c:v>
                </c:pt>
                <c:pt idx="18">
                  <c:v>86</c:v>
                </c:pt>
                <c:pt idx="19">
                  <c:v>81</c:v>
                </c:pt>
                <c:pt idx="20">
                  <c:v>108</c:v>
                </c:pt>
                <c:pt idx="21">
                  <c:v>103</c:v>
                </c:pt>
                <c:pt idx="22">
                  <c:v>115</c:v>
                </c:pt>
                <c:pt idx="23">
                  <c:v>70</c:v>
                </c:pt>
                <c:pt idx="24">
                  <c:v>104</c:v>
                </c:pt>
                <c:pt idx="25">
                  <c:v>89</c:v>
                </c:pt>
                <c:pt idx="26">
                  <c:v>105</c:v>
                </c:pt>
                <c:pt idx="27">
                  <c:v>118</c:v>
                </c:pt>
                <c:pt idx="28">
                  <c:v>88</c:v>
                </c:pt>
                <c:pt idx="29">
                  <c:v>107</c:v>
                </c:pt>
                <c:pt idx="30">
                  <c:v>86</c:v>
                </c:pt>
                <c:pt idx="31">
                  <c:v>66</c:v>
                </c:pt>
                <c:pt idx="32">
                  <c:v>78</c:v>
                </c:pt>
                <c:pt idx="33">
                  <c:v>70</c:v>
                </c:pt>
                <c:pt idx="34">
                  <c:v>71</c:v>
                </c:pt>
                <c:pt idx="35">
                  <c:v>55</c:v>
                </c:pt>
                <c:pt idx="36">
                  <c:v>56</c:v>
                </c:pt>
                <c:pt idx="37">
                  <c:v>54</c:v>
                </c:pt>
                <c:pt idx="38">
                  <c:v>81</c:v>
                </c:pt>
                <c:pt idx="39">
                  <c:v>58</c:v>
                </c:pt>
                <c:pt idx="40">
                  <c:v>81</c:v>
                </c:pt>
                <c:pt idx="41">
                  <c:v>52</c:v>
                </c:pt>
                <c:pt idx="42">
                  <c:v>62</c:v>
                </c:pt>
                <c:pt idx="43">
                  <c:v>64</c:v>
                </c:pt>
                <c:pt idx="44">
                  <c:v>69</c:v>
                </c:pt>
                <c:pt idx="45">
                  <c:v>52</c:v>
                </c:pt>
                <c:pt idx="46">
                  <c:v>46</c:v>
                </c:pt>
                <c:pt idx="47">
                  <c:v>52</c:v>
                </c:pt>
                <c:pt idx="48">
                  <c:v>50</c:v>
                </c:pt>
                <c:pt idx="49">
                  <c:v>42</c:v>
                </c:pt>
                <c:pt idx="50">
                  <c:v>51</c:v>
                </c:pt>
                <c:pt idx="51">
                  <c:v>46</c:v>
                </c:pt>
                <c:pt idx="52">
                  <c:v>51</c:v>
                </c:pt>
                <c:pt idx="53">
                  <c:v>33</c:v>
                </c:pt>
                <c:pt idx="54">
                  <c:v>37</c:v>
                </c:pt>
                <c:pt idx="55">
                  <c:v>42</c:v>
                </c:pt>
                <c:pt idx="56">
                  <c:v>36</c:v>
                </c:pt>
                <c:pt idx="57">
                  <c:v>43</c:v>
                </c:pt>
                <c:pt idx="58">
                  <c:v>30</c:v>
                </c:pt>
                <c:pt idx="59">
                  <c:v>29</c:v>
                </c:pt>
                <c:pt idx="60">
                  <c:v>33</c:v>
                </c:pt>
              </c:numCache>
            </c:numRef>
          </c:val>
          <c:extLst xmlns:c16r2="http://schemas.microsoft.com/office/drawing/2015/06/chart">
            <c:ext xmlns:c16="http://schemas.microsoft.com/office/drawing/2014/chart" uri="{C3380CC4-5D6E-409C-BE32-E72D297353CC}">
              <c16:uniqueId val="{00000001-4A49-432E-821F-BE10B1E36710}"/>
            </c:ext>
          </c:extLst>
        </c:ser>
        <c:dLbls>
          <c:showLegendKey val="0"/>
          <c:showVal val="0"/>
          <c:showCatName val="0"/>
          <c:showSerName val="0"/>
          <c:showPercent val="0"/>
          <c:showBubbleSize val="0"/>
        </c:dLbls>
        <c:gapWidth val="80"/>
        <c:axId val="219838336"/>
        <c:axId val="219839872"/>
      </c:barChart>
      <c:dateAx>
        <c:axId val="219838336"/>
        <c:scaling>
          <c:orientation val="minMax"/>
        </c:scaling>
        <c:delete val="0"/>
        <c:axPos val="b"/>
        <c:majorGridlines>
          <c:spPr>
            <a:ln w="9525" cap="flat" cmpd="sng" algn="ctr">
              <a:solidFill>
                <a:schemeClr val="tx1">
                  <a:lumMod val="15000"/>
                  <a:lumOff val="85000"/>
                </a:schemeClr>
              </a:solidFill>
              <a:round/>
            </a:ln>
            <a:effectLst/>
          </c:spPr>
        </c:majorGridlines>
        <c:numFmt formatCode="d\-m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crossAx val="219839872"/>
        <c:crosses val="autoZero"/>
        <c:auto val="1"/>
        <c:lblOffset val="100"/>
        <c:baseTimeUnit val="days"/>
      </c:dateAx>
      <c:valAx>
        <c:axId val="219839872"/>
        <c:scaling>
          <c:orientation val="minMax"/>
          <c:max val="2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crossAx val="219838336"/>
        <c:crosses val="autoZero"/>
        <c:crossBetween val="between"/>
        <c:majorUnit val="20"/>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DD224B0EDAD614E90628F4A775A993B" ma:contentTypeVersion="10" ma:contentTypeDescription="Creare un nuovo documento." ma:contentTypeScope="" ma:versionID="178babe58a7c058c098d09f8dfe6105b">
  <xsd:schema xmlns:xsd="http://www.w3.org/2001/XMLSchema" xmlns:xs="http://www.w3.org/2001/XMLSchema" xmlns:p="http://schemas.microsoft.com/office/2006/metadata/properties" xmlns:ns2="25c54569-3efc-4e4d-8ffe-1d97b30a5375" xmlns:ns3="d253fb2c-0a8a-4170-a1e4-f00d5a1135f4" targetNamespace="http://schemas.microsoft.com/office/2006/metadata/properties" ma:root="true" ma:fieldsID="ae3121a50e7fef4dacf6f909299dfe54" ns2:_="" ns3:_="">
    <xsd:import namespace="25c54569-3efc-4e4d-8ffe-1d97b30a5375"/>
    <xsd:import namespace="d253fb2c-0a8a-4170-a1e4-f00d5a1135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4569-3efc-4e4d-8ffe-1d97b30a537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3fb2c-0a8a-4170-a1e4-f00d5a1135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4A58822-A451-4036-8EC6-549D869715EC}">
  <ds:schemaRefs>
    <ds:schemaRef ds:uri="http://schemas.microsoft.com/sharepoint/v3/contenttype/forms"/>
  </ds:schemaRefs>
</ds:datastoreItem>
</file>

<file path=customXml/itemProps2.xml><?xml version="1.0" encoding="utf-8"?>
<ds:datastoreItem xmlns:ds="http://schemas.openxmlformats.org/officeDocument/2006/customXml" ds:itemID="{687A7399-CD9A-4087-A461-8B9A5A705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4569-3efc-4e4d-8ffe-1d97b30a5375"/>
    <ds:schemaRef ds:uri="d253fb2c-0a8a-4170-a1e4-f00d5a11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DC97D5-C302-4167-9FD0-15A76B8E39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402CA0-6B77-4CC4-AF04-370D1CD5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7578</Words>
  <Characters>43199</Characters>
  <Application>Microsoft Office Word</Application>
  <DocSecurity>0</DocSecurity>
  <Lines>359</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50676</CharactersWithSpaces>
  <SharedDoc>false</SharedDoc>
  <HLinks>
    <vt:vector size="30" baseType="variant">
      <vt:variant>
        <vt:i4>4325501</vt:i4>
      </vt:variant>
      <vt:variant>
        <vt:i4>15</vt:i4>
      </vt:variant>
      <vt:variant>
        <vt:i4>0</vt:i4>
      </vt:variant>
      <vt:variant>
        <vt:i4>5</vt:i4>
      </vt:variant>
      <vt:variant>
        <vt:lpwstr>https://www.epicentro.iss.it/coronavirus/bollettino/Bollettino-sorveglianza-integrata-COVID-19_23-aprile-2020.pdf</vt:lpwstr>
      </vt:variant>
      <vt:variant>
        <vt:lpwstr/>
      </vt:variant>
      <vt:variant>
        <vt:i4>3932167</vt:i4>
      </vt:variant>
      <vt:variant>
        <vt:i4>12</vt:i4>
      </vt:variant>
      <vt:variant>
        <vt:i4>0</vt:i4>
      </vt:variant>
      <vt:variant>
        <vt:i4>5</vt:i4>
      </vt:variant>
      <vt:variant>
        <vt:lpwstr>https://www.istat.it/it/files/2020/03/Nota_Tabella_malattir_respiratorie-def.pdf</vt:lpwstr>
      </vt:variant>
      <vt:variant>
        <vt:lpwstr/>
      </vt:variant>
      <vt:variant>
        <vt:i4>4325501</vt:i4>
      </vt:variant>
      <vt:variant>
        <vt:i4>6</vt:i4>
      </vt:variant>
      <vt:variant>
        <vt:i4>0</vt:i4>
      </vt:variant>
      <vt:variant>
        <vt:i4>5</vt:i4>
      </vt:variant>
      <vt:variant>
        <vt:lpwstr>https://www.epicentro.iss.it/coronavirus/bollettino/Bollettino-sorveglianza-integrata-COVID-19_23-aprile-2020.pdf</vt:lpwstr>
      </vt:variant>
      <vt:variant>
        <vt:lpwstr/>
      </vt:variant>
      <vt:variant>
        <vt:i4>2883632</vt:i4>
      </vt:variant>
      <vt:variant>
        <vt:i4>3</vt:i4>
      </vt:variant>
      <vt:variant>
        <vt:i4>0</vt:i4>
      </vt:variant>
      <vt:variant>
        <vt:i4>5</vt:i4>
      </vt:variant>
      <vt:variant>
        <vt:lpwstr>http://opendatadpc.maps.arcgis.com/apps/opsdashboard/index.html</vt:lpwstr>
      </vt:variant>
      <vt:variant>
        <vt:lpwstr>/b0c68bce2cce478eaac82fe38d4138b1</vt:lpwstr>
      </vt:variant>
      <vt:variant>
        <vt:i4>4391038</vt:i4>
      </vt:variant>
      <vt:variant>
        <vt:i4>0</vt:i4>
      </vt:variant>
      <vt:variant>
        <vt:i4>0</vt:i4>
      </vt:variant>
      <vt:variant>
        <vt:i4>5</vt:i4>
      </vt:variant>
      <vt:variant>
        <vt:lpwstr>https://www.epicentro.iss.it/coronavirus/bollettino/Bollettino-sorveglianza-integrata-COVID-19_30-aprile-2020.pdf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Patrizia Cacioli</cp:lastModifiedBy>
  <cp:revision>2</cp:revision>
  <cp:lastPrinted>2020-04-01T15:48:00Z</cp:lastPrinted>
  <dcterms:created xsi:type="dcterms:W3CDTF">2020-06-04T09:57:00Z</dcterms:created>
  <dcterms:modified xsi:type="dcterms:W3CDTF">2020-06-04T09:57:00Z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0x010100BDD224B0EDAD614E90628F4A775A993B</vt:lpwstr>
  </property>
</Properties>
</file>