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6EAA" w:rsidRPr="0058002A" w:rsidRDefault="007E6EAA" w:rsidP="007E6EAA">
      <w:pPr>
        <w:autoSpaceDE w:val="0"/>
        <w:autoSpaceDN w:val="0"/>
        <w:adjustRightInd w:val="0"/>
        <w:spacing w:after="120"/>
        <w:ind w:left="-426"/>
        <w:rPr>
          <w:rFonts w:ascii="Arial Narrow" w:hAnsi="Arial Narrow" w:cs="Arial"/>
          <w:bCs/>
          <w:color w:val="000000"/>
          <w:sz w:val="26"/>
          <w:szCs w:val="26"/>
        </w:rPr>
      </w:pPr>
    </w:p>
    <w:p w:rsidR="00A53FD3" w:rsidRDefault="00A53FD3" w:rsidP="00A2532B">
      <w:pPr>
        <w:spacing w:after="120"/>
        <w:rPr>
          <w:rFonts w:ascii="Arial Narrow" w:hAnsi="Arial Narrow" w:cs="Arial"/>
          <w:b/>
          <w:bCs/>
          <w:color w:val="E42618"/>
          <w:sz w:val="28"/>
          <w:szCs w:val="28"/>
        </w:rPr>
      </w:pPr>
    </w:p>
    <w:p w:rsidR="0047746A" w:rsidRDefault="00961F7F" w:rsidP="00A2532B">
      <w:pPr>
        <w:spacing w:after="120"/>
        <w:rPr>
          <w:rFonts w:ascii="Arial Narrow" w:hAnsi="Arial Narrow" w:cs="Arial"/>
          <w:b/>
          <w:bCs/>
          <w:color w:val="E42618"/>
          <w:sz w:val="28"/>
          <w:szCs w:val="28"/>
        </w:rPr>
      </w:pPr>
      <w:r>
        <w:rPr>
          <w:rFonts w:ascii="Arial Narrow" w:hAnsi="Arial Narrow" w:cs="Arial"/>
          <w:b/>
          <w:bCs/>
          <w:color w:val="E42618"/>
          <w:sz w:val="28"/>
          <w:szCs w:val="28"/>
        </w:rPr>
        <w:t>L’</w:t>
      </w:r>
      <w:r w:rsidR="00420DC7">
        <w:rPr>
          <w:rFonts w:ascii="Arial Narrow" w:hAnsi="Arial Narrow" w:cs="Arial"/>
          <w:b/>
          <w:bCs/>
          <w:color w:val="E42618"/>
          <w:sz w:val="28"/>
          <w:szCs w:val="28"/>
        </w:rPr>
        <w:t xml:space="preserve">ECONOMIA NON OSSERVATA NEI CONTI NAZIONALI </w:t>
      </w:r>
      <w:r w:rsidR="00A53FD3" w:rsidRPr="0097324D">
        <w:rPr>
          <w:rFonts w:ascii="Arial Narrow" w:hAnsi="Arial Narrow" w:cs="Arial"/>
          <w:b/>
          <w:bCs/>
          <w:color w:val="1F497D"/>
          <w:sz w:val="28"/>
          <w:szCs w:val="28"/>
        </w:rPr>
        <w:t xml:space="preserve">| </w:t>
      </w:r>
      <w:r w:rsidR="002A5447">
        <w:rPr>
          <w:rFonts w:ascii="Arial Narrow" w:hAnsi="Arial Narrow" w:cs="Arial"/>
          <w:b/>
          <w:bCs/>
          <w:color w:val="E42618"/>
          <w:sz w:val="28"/>
          <w:szCs w:val="28"/>
        </w:rPr>
        <w:t xml:space="preserve">ANNI </w:t>
      </w:r>
      <w:r w:rsidR="00420DC7">
        <w:rPr>
          <w:rFonts w:ascii="Arial Narrow" w:hAnsi="Arial Narrow" w:cs="Arial"/>
          <w:b/>
          <w:bCs/>
          <w:color w:val="E42618"/>
          <w:sz w:val="28"/>
          <w:szCs w:val="28"/>
        </w:rPr>
        <w:t xml:space="preserve"> 201</w:t>
      </w:r>
      <w:r w:rsidR="009C78FA">
        <w:rPr>
          <w:rFonts w:ascii="Arial Narrow" w:hAnsi="Arial Narrow" w:cs="Arial"/>
          <w:b/>
          <w:bCs/>
          <w:color w:val="E42618"/>
          <w:sz w:val="28"/>
          <w:szCs w:val="28"/>
        </w:rPr>
        <w:t>4</w:t>
      </w:r>
      <w:r w:rsidR="00420DC7">
        <w:rPr>
          <w:rFonts w:ascii="Arial Narrow" w:hAnsi="Arial Narrow" w:cs="Arial"/>
          <w:b/>
          <w:bCs/>
          <w:color w:val="E42618"/>
          <w:sz w:val="28"/>
          <w:szCs w:val="28"/>
        </w:rPr>
        <w:t>-2017</w:t>
      </w:r>
    </w:p>
    <w:p w:rsidR="007E6EAA" w:rsidRPr="0047746A" w:rsidRDefault="007E6EAA" w:rsidP="007E6EAA">
      <w:pPr>
        <w:tabs>
          <w:tab w:val="left" w:pos="851"/>
        </w:tabs>
        <w:autoSpaceDE w:val="0"/>
        <w:autoSpaceDN w:val="0"/>
        <w:adjustRightInd w:val="0"/>
        <w:jc w:val="both"/>
        <w:rPr>
          <w:rFonts w:ascii="Arial Narrow" w:hAnsi="Arial Narrow" w:cs="Arial"/>
          <w:bCs/>
          <w:color w:val="1F497D" w:themeColor="text2"/>
          <w:sz w:val="18"/>
          <w:szCs w:val="52"/>
        </w:rPr>
      </w:pPr>
    </w:p>
    <w:p w:rsidR="00A2532B" w:rsidRDefault="00F145BC" w:rsidP="00A2532B">
      <w:pPr>
        <w:tabs>
          <w:tab w:val="left" w:pos="851"/>
        </w:tabs>
        <w:autoSpaceDE w:val="0"/>
        <w:autoSpaceDN w:val="0"/>
        <w:adjustRightInd w:val="0"/>
        <w:jc w:val="both"/>
        <w:rPr>
          <w:rFonts w:ascii="Georgia" w:hAnsi="Georgia" w:cs="Arial"/>
          <w:bCs/>
          <w:color w:val="1F497D" w:themeColor="text2"/>
          <w:sz w:val="52"/>
          <w:szCs w:val="52"/>
        </w:rPr>
      </w:pPr>
      <w:r>
        <w:rPr>
          <w:rFonts w:ascii="Georgia" w:hAnsi="Georgia" w:cs="Arial"/>
          <w:bCs/>
          <w:color w:val="1F497D" w:themeColor="text2"/>
          <w:sz w:val="52"/>
          <w:szCs w:val="52"/>
        </w:rPr>
        <w:t>E</w:t>
      </w:r>
      <w:r w:rsidR="00961F7F">
        <w:rPr>
          <w:rFonts w:ascii="Georgia" w:hAnsi="Georgia" w:cs="Arial"/>
          <w:bCs/>
          <w:color w:val="1F497D" w:themeColor="text2"/>
          <w:sz w:val="52"/>
          <w:szCs w:val="52"/>
        </w:rPr>
        <w:t>conomia non osservata</w:t>
      </w:r>
      <w:r>
        <w:rPr>
          <w:rFonts w:ascii="Georgia" w:hAnsi="Georgia" w:cs="Arial"/>
          <w:bCs/>
          <w:color w:val="1F497D" w:themeColor="text2"/>
          <w:sz w:val="52"/>
          <w:szCs w:val="52"/>
        </w:rPr>
        <w:t xml:space="preserve">: </w:t>
      </w:r>
      <w:r w:rsidR="00961F7F">
        <w:rPr>
          <w:rFonts w:ascii="Georgia" w:hAnsi="Georgia" w:cs="Arial"/>
          <w:bCs/>
          <w:color w:val="1F497D" w:themeColor="text2"/>
          <w:sz w:val="52"/>
          <w:szCs w:val="52"/>
        </w:rPr>
        <w:t>nel 2017</w:t>
      </w:r>
      <w:r w:rsidR="00D53B29">
        <w:rPr>
          <w:rFonts w:ascii="Georgia" w:hAnsi="Georgia" w:cs="Arial"/>
          <w:bCs/>
          <w:color w:val="1F497D" w:themeColor="text2"/>
          <w:sz w:val="52"/>
          <w:szCs w:val="52"/>
        </w:rPr>
        <w:t xml:space="preserve"> </w:t>
      </w:r>
      <w:r>
        <w:rPr>
          <w:rFonts w:ascii="Georgia" w:hAnsi="Georgia" w:cs="Arial"/>
          <w:bCs/>
          <w:color w:val="1F497D" w:themeColor="text2"/>
          <w:sz w:val="52"/>
          <w:szCs w:val="52"/>
        </w:rPr>
        <w:t>+1</w:t>
      </w:r>
      <w:r w:rsidR="00961F7F">
        <w:rPr>
          <w:rFonts w:ascii="Georgia" w:hAnsi="Georgia" w:cs="Arial"/>
          <w:bCs/>
          <w:color w:val="1F497D" w:themeColor="text2"/>
          <w:sz w:val="52"/>
          <w:szCs w:val="52"/>
        </w:rPr>
        <w:t>,</w:t>
      </w:r>
      <w:r>
        <w:rPr>
          <w:rFonts w:ascii="Georgia" w:hAnsi="Georgia" w:cs="Arial"/>
          <w:bCs/>
          <w:color w:val="1F497D" w:themeColor="text2"/>
          <w:sz w:val="52"/>
          <w:szCs w:val="52"/>
        </w:rPr>
        <w:t>5</w:t>
      </w:r>
      <w:r w:rsidR="00A2532B">
        <w:rPr>
          <w:rFonts w:ascii="Georgia" w:hAnsi="Georgia" w:cs="Arial"/>
          <w:bCs/>
          <w:color w:val="1F497D" w:themeColor="text2"/>
          <w:sz w:val="52"/>
          <w:szCs w:val="52"/>
        </w:rPr>
        <w:t>%</w:t>
      </w:r>
      <w:r w:rsidR="00961F7F">
        <w:rPr>
          <w:rFonts w:ascii="Georgia" w:hAnsi="Georgia" w:cs="Arial"/>
          <w:bCs/>
          <w:color w:val="1F497D" w:themeColor="text2"/>
          <w:sz w:val="52"/>
          <w:szCs w:val="52"/>
        </w:rPr>
        <w:t xml:space="preserve">, ma </w:t>
      </w:r>
      <w:r w:rsidR="009D3E88">
        <w:rPr>
          <w:rFonts w:ascii="Georgia" w:hAnsi="Georgia" w:cs="Arial"/>
          <w:bCs/>
          <w:color w:val="1F497D" w:themeColor="text2"/>
          <w:sz w:val="52"/>
          <w:szCs w:val="52"/>
        </w:rPr>
        <w:t xml:space="preserve">diminuisce il peso </w:t>
      </w:r>
      <w:r w:rsidR="00961F7F">
        <w:rPr>
          <w:rFonts w:ascii="Georgia" w:hAnsi="Georgia" w:cs="Arial"/>
          <w:bCs/>
          <w:color w:val="1F497D" w:themeColor="text2"/>
          <w:sz w:val="52"/>
          <w:szCs w:val="52"/>
        </w:rPr>
        <w:t>sul</w:t>
      </w:r>
      <w:r w:rsidR="009D3E88">
        <w:rPr>
          <w:rFonts w:ascii="Georgia" w:hAnsi="Georgia" w:cs="Arial"/>
          <w:bCs/>
          <w:color w:val="1F497D" w:themeColor="text2"/>
          <w:sz w:val="52"/>
          <w:szCs w:val="52"/>
        </w:rPr>
        <w:t xml:space="preserve"> Pil</w:t>
      </w:r>
    </w:p>
    <w:p w:rsidR="007E6EAA" w:rsidRPr="001A62B5" w:rsidRDefault="00934608" w:rsidP="001A62B5">
      <w:pPr>
        <w:tabs>
          <w:tab w:val="left" w:pos="851"/>
        </w:tabs>
        <w:autoSpaceDE w:val="0"/>
        <w:autoSpaceDN w:val="0"/>
        <w:adjustRightInd w:val="0"/>
        <w:spacing w:line="360" w:lineRule="exact"/>
        <w:ind w:left="567"/>
        <w:rPr>
          <w:rFonts w:ascii="Georgia" w:hAnsi="Georgia" w:cs="Arial"/>
          <w:bCs/>
          <w:sz w:val="36"/>
          <w:szCs w:val="52"/>
        </w:rPr>
      </w:pPr>
      <w:r>
        <w:rPr>
          <w:rFonts w:ascii="Georgia" w:hAnsi="Georgia" w:cs="Arial"/>
          <w:bCs/>
          <w:noProof/>
          <w:color w:val="1F497D" w:themeColor="text2"/>
          <w:sz w:val="18"/>
          <w:szCs w:val="28"/>
        </w:rPr>
        <mc:AlternateContent>
          <mc:Choice Requires="wps">
            <w:drawing>
              <wp:anchor distT="0" distB="0" distL="114300" distR="114300" simplePos="0" relativeHeight="251683840" behindDoc="0" locked="0" layoutInCell="1" allowOverlap="1">
                <wp:simplePos x="0" y="0"/>
                <wp:positionH relativeFrom="column">
                  <wp:posOffset>-528955</wp:posOffset>
                </wp:positionH>
                <wp:positionV relativeFrom="paragraph">
                  <wp:posOffset>176530</wp:posOffset>
                </wp:positionV>
                <wp:extent cx="438150" cy="381000"/>
                <wp:effectExtent l="0" t="19050" r="38100" b="38100"/>
                <wp:wrapNone/>
                <wp:docPr id="21" name="Freccia a destr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381000"/>
                        </a:xfrm>
                        <a:prstGeom prst="rightArrow">
                          <a:avLst/>
                        </a:prstGeom>
                        <a:solidFill>
                          <a:srgbClr val="E42618"/>
                        </a:solidFill>
                        <a:ln>
                          <a:solidFill>
                            <a:srgbClr val="E4261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21" o:spid="_x0000_s1026" type="#_x0000_t13" style="position:absolute;margin-left:-41.65pt;margin-top:13.9pt;width:34.5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" adj="12209" fillcolor="#e42618" strokecolor="#e42618" strokeweight="2pt">
                <v:path arrowok="t"/>
              </v:shape>
            </w:pict>
          </mc:Fallback>
        </mc:AlternateContent>
      </w:r>
    </w:p>
    <w:p w:rsidR="009D3E88" w:rsidRDefault="00961F7F" w:rsidP="00431A2A">
      <w:pPr>
        <w:pStyle w:val="Default"/>
        <w:tabs>
          <w:tab w:val="left" w:pos="567"/>
        </w:tabs>
        <w:spacing w:after="200" w:line="360" w:lineRule="exact"/>
        <w:ind w:left="142"/>
        <w:jc w:val="both"/>
        <w:rPr>
          <w:rFonts w:ascii="Georgia" w:hAnsi="Georgia" w:cs="Arial"/>
          <w:bCs/>
          <w:color w:val="1F497D" w:themeColor="text2"/>
          <w:sz w:val="28"/>
          <w:szCs w:val="28"/>
        </w:rPr>
      </w:pPr>
      <w:r w:rsidRPr="00961F7F">
        <w:rPr>
          <w:rFonts w:ascii="Georgia" w:hAnsi="Georgia" w:cs="Arial"/>
          <w:bCs/>
          <w:color w:val="1F497D" w:themeColor="text2"/>
          <w:sz w:val="28"/>
          <w:szCs w:val="28"/>
        </w:rPr>
        <w:t>Nel 201</w:t>
      </w:r>
      <w:r>
        <w:rPr>
          <w:rFonts w:ascii="Georgia" w:hAnsi="Georgia" w:cs="Arial"/>
          <w:bCs/>
          <w:color w:val="1F497D" w:themeColor="text2"/>
          <w:sz w:val="28"/>
          <w:szCs w:val="28"/>
        </w:rPr>
        <w:t>7</w:t>
      </w:r>
      <w:r w:rsidR="00423989">
        <w:rPr>
          <w:rFonts w:ascii="Georgia" w:hAnsi="Georgia" w:cs="Arial"/>
          <w:bCs/>
          <w:color w:val="1F497D" w:themeColor="text2"/>
          <w:sz w:val="28"/>
          <w:szCs w:val="28"/>
        </w:rPr>
        <w:t xml:space="preserve"> </w:t>
      </w:r>
      <w:r w:rsidRPr="00961F7F">
        <w:rPr>
          <w:rFonts w:ascii="Georgia" w:hAnsi="Georgia" w:cs="Arial"/>
          <w:b/>
          <w:bCs/>
          <w:color w:val="1F497D" w:themeColor="text2"/>
          <w:sz w:val="28"/>
          <w:szCs w:val="28"/>
        </w:rPr>
        <w:t>l’economia non osservata</w:t>
      </w:r>
      <w:r w:rsidRPr="00961F7F">
        <w:rPr>
          <w:rFonts w:ascii="Georgia" w:hAnsi="Georgia" w:cs="Arial"/>
          <w:bCs/>
          <w:color w:val="1F497D" w:themeColor="text2"/>
          <w:sz w:val="28"/>
          <w:szCs w:val="28"/>
        </w:rPr>
        <w:t xml:space="preserve"> vale circa </w:t>
      </w:r>
      <w:r w:rsidRPr="00F145BC">
        <w:rPr>
          <w:rFonts w:ascii="Georgia" w:hAnsi="Georgia" w:cs="Arial"/>
          <w:b/>
          <w:bCs/>
          <w:color w:val="1F497D" w:themeColor="text2"/>
          <w:sz w:val="28"/>
          <w:szCs w:val="28"/>
        </w:rPr>
        <w:t>21</w:t>
      </w:r>
      <w:r w:rsidR="00F145BC" w:rsidRPr="00F145BC">
        <w:rPr>
          <w:rFonts w:ascii="Georgia" w:hAnsi="Georgia" w:cs="Arial"/>
          <w:b/>
          <w:bCs/>
          <w:color w:val="1F497D" w:themeColor="text2"/>
          <w:sz w:val="28"/>
          <w:szCs w:val="28"/>
        </w:rPr>
        <w:t>1</w:t>
      </w:r>
      <w:r w:rsidR="00934608">
        <w:rPr>
          <w:rFonts w:ascii="Georgia" w:hAnsi="Georgia" w:cs="Arial"/>
          <w:b/>
          <w:bCs/>
          <w:color w:val="1F497D" w:themeColor="text2"/>
          <w:sz w:val="28"/>
          <w:szCs w:val="28"/>
        </w:rPr>
        <w:t xml:space="preserve"> </w:t>
      </w:r>
      <w:r w:rsidRPr="00961F7F">
        <w:rPr>
          <w:rFonts w:ascii="Georgia" w:hAnsi="Georgia" w:cs="Arial"/>
          <w:bCs/>
          <w:color w:val="1F497D" w:themeColor="text2"/>
          <w:sz w:val="28"/>
          <w:szCs w:val="28"/>
        </w:rPr>
        <w:t xml:space="preserve">miliardi di euro, </w:t>
      </w:r>
      <w:r w:rsidR="00BC7CC2">
        <w:rPr>
          <w:rFonts w:ascii="Georgia" w:hAnsi="Georgia" w:cs="Arial"/>
          <w:bCs/>
          <w:color w:val="1F497D" w:themeColor="text2"/>
          <w:sz w:val="28"/>
          <w:szCs w:val="28"/>
        </w:rPr>
        <w:t>il</w:t>
      </w:r>
      <w:r w:rsidR="00423989">
        <w:rPr>
          <w:rFonts w:ascii="Georgia" w:hAnsi="Georgia" w:cs="Arial"/>
          <w:bCs/>
          <w:color w:val="1F497D" w:themeColor="text2"/>
          <w:sz w:val="28"/>
          <w:szCs w:val="28"/>
        </w:rPr>
        <w:t xml:space="preserve"> </w:t>
      </w:r>
      <w:r w:rsidR="00F145BC">
        <w:rPr>
          <w:rFonts w:ascii="Georgia" w:hAnsi="Georgia" w:cs="Arial"/>
          <w:b/>
          <w:bCs/>
          <w:color w:val="1F497D" w:themeColor="text2"/>
          <w:sz w:val="28"/>
          <w:szCs w:val="28"/>
        </w:rPr>
        <w:t>12</w:t>
      </w:r>
      <w:r w:rsidRPr="00961F7F">
        <w:rPr>
          <w:rFonts w:ascii="Georgia" w:hAnsi="Georgia" w:cs="Arial"/>
          <w:b/>
          <w:bCs/>
          <w:color w:val="1F497D" w:themeColor="text2"/>
          <w:sz w:val="28"/>
          <w:szCs w:val="28"/>
        </w:rPr>
        <w:t>,</w:t>
      </w:r>
      <w:r w:rsidR="00F145BC">
        <w:rPr>
          <w:rFonts w:ascii="Georgia" w:hAnsi="Georgia" w:cs="Arial"/>
          <w:b/>
          <w:bCs/>
          <w:color w:val="1F497D" w:themeColor="text2"/>
          <w:sz w:val="28"/>
          <w:szCs w:val="28"/>
        </w:rPr>
        <w:t>1</w:t>
      </w:r>
      <w:r w:rsidRPr="00961F7F">
        <w:rPr>
          <w:rFonts w:ascii="Georgia" w:hAnsi="Georgia" w:cs="Arial"/>
          <w:b/>
          <w:bCs/>
          <w:color w:val="1F497D" w:themeColor="text2"/>
          <w:sz w:val="28"/>
          <w:szCs w:val="28"/>
        </w:rPr>
        <w:t>%</w:t>
      </w:r>
      <w:r w:rsidRPr="00961F7F">
        <w:rPr>
          <w:rFonts w:ascii="Georgia" w:hAnsi="Georgia" w:cs="Arial"/>
          <w:bCs/>
          <w:color w:val="1F497D" w:themeColor="text2"/>
          <w:sz w:val="28"/>
          <w:szCs w:val="28"/>
        </w:rPr>
        <w:t xml:space="preserve"> del Pil. </w:t>
      </w:r>
      <w:r w:rsidR="00BC7CC2">
        <w:rPr>
          <w:rFonts w:ascii="Georgia" w:hAnsi="Georgia" w:cs="Arial"/>
          <w:bCs/>
          <w:color w:val="1F497D" w:themeColor="text2"/>
          <w:sz w:val="28"/>
          <w:szCs w:val="28"/>
        </w:rPr>
        <w:t>L</w:t>
      </w:r>
      <w:r w:rsidRPr="00961F7F">
        <w:rPr>
          <w:rFonts w:ascii="Georgia" w:hAnsi="Georgia" w:cs="Arial"/>
          <w:bCs/>
          <w:color w:val="1F497D" w:themeColor="text2"/>
          <w:sz w:val="28"/>
          <w:szCs w:val="28"/>
        </w:rPr>
        <w:t>’</w:t>
      </w:r>
      <w:r w:rsidRPr="00F145BC">
        <w:rPr>
          <w:rFonts w:ascii="Georgia" w:hAnsi="Georgia" w:cs="Arial"/>
          <w:b/>
          <w:bCs/>
          <w:color w:val="1F497D" w:themeColor="text2"/>
          <w:sz w:val="28"/>
          <w:szCs w:val="28"/>
        </w:rPr>
        <w:t xml:space="preserve">economia sommersa </w:t>
      </w:r>
      <w:r w:rsidRPr="00961F7F">
        <w:rPr>
          <w:rFonts w:ascii="Georgia" w:hAnsi="Georgia" w:cs="Arial"/>
          <w:bCs/>
          <w:color w:val="1F497D" w:themeColor="text2"/>
          <w:sz w:val="28"/>
          <w:szCs w:val="28"/>
        </w:rPr>
        <w:t xml:space="preserve">ammonta a poco meno di </w:t>
      </w:r>
      <w:r w:rsidR="00F145BC">
        <w:rPr>
          <w:rFonts w:ascii="Georgia" w:hAnsi="Georgia" w:cs="Arial"/>
          <w:b/>
          <w:bCs/>
          <w:color w:val="1F497D" w:themeColor="text2"/>
          <w:sz w:val="28"/>
          <w:szCs w:val="28"/>
        </w:rPr>
        <w:t>192</w:t>
      </w:r>
      <w:r w:rsidRPr="00961F7F">
        <w:rPr>
          <w:rFonts w:ascii="Georgia" w:hAnsi="Georgia" w:cs="Arial"/>
          <w:bCs/>
          <w:color w:val="1F497D" w:themeColor="text2"/>
          <w:sz w:val="28"/>
          <w:szCs w:val="28"/>
        </w:rPr>
        <w:t xml:space="preserve"> miliardi di euro </w:t>
      </w:r>
      <w:r w:rsidR="00BC7CC2">
        <w:rPr>
          <w:rFonts w:ascii="Georgia" w:hAnsi="Georgia" w:cs="Arial"/>
          <w:bCs/>
          <w:color w:val="1F497D" w:themeColor="text2"/>
          <w:sz w:val="28"/>
          <w:szCs w:val="28"/>
        </w:rPr>
        <w:t>e le</w:t>
      </w:r>
      <w:r w:rsidR="00423989">
        <w:rPr>
          <w:rFonts w:ascii="Georgia" w:hAnsi="Georgia" w:cs="Arial"/>
          <w:bCs/>
          <w:color w:val="1F497D" w:themeColor="text2"/>
          <w:sz w:val="28"/>
          <w:szCs w:val="28"/>
        </w:rPr>
        <w:t xml:space="preserve"> </w:t>
      </w:r>
      <w:r w:rsidRPr="00F145BC">
        <w:rPr>
          <w:rFonts w:ascii="Georgia" w:hAnsi="Georgia" w:cs="Arial"/>
          <w:b/>
          <w:bCs/>
          <w:color w:val="1F497D" w:themeColor="text2"/>
          <w:sz w:val="28"/>
          <w:szCs w:val="28"/>
        </w:rPr>
        <w:t>attività illegali</w:t>
      </w:r>
      <w:r w:rsidRPr="00961F7F">
        <w:rPr>
          <w:rFonts w:ascii="Georgia" w:hAnsi="Georgia" w:cs="Arial"/>
          <w:bCs/>
          <w:color w:val="1F497D" w:themeColor="text2"/>
          <w:sz w:val="28"/>
          <w:szCs w:val="28"/>
        </w:rPr>
        <w:t xml:space="preserve"> a circa </w:t>
      </w:r>
      <w:r w:rsidR="00F145BC">
        <w:rPr>
          <w:rFonts w:ascii="Georgia" w:hAnsi="Georgia" w:cs="Arial"/>
          <w:b/>
          <w:bCs/>
          <w:color w:val="1F497D" w:themeColor="text2"/>
          <w:sz w:val="28"/>
          <w:szCs w:val="28"/>
        </w:rPr>
        <w:t>19</w:t>
      </w:r>
      <w:r w:rsidRPr="00961F7F">
        <w:rPr>
          <w:rFonts w:ascii="Georgia" w:hAnsi="Georgia" w:cs="Arial"/>
          <w:bCs/>
          <w:color w:val="1F497D" w:themeColor="text2"/>
          <w:sz w:val="28"/>
          <w:szCs w:val="28"/>
        </w:rPr>
        <w:t xml:space="preserve"> miliardi. Le stime </w:t>
      </w:r>
      <w:r w:rsidR="009E6ED7">
        <w:rPr>
          <w:rFonts w:ascii="Georgia" w:hAnsi="Georgia" w:cs="Arial"/>
          <w:bCs/>
          <w:color w:val="1F497D" w:themeColor="text2"/>
          <w:sz w:val="28"/>
          <w:szCs w:val="28"/>
        </w:rPr>
        <w:t xml:space="preserve">per il </w:t>
      </w:r>
      <w:r w:rsidRPr="00961F7F">
        <w:rPr>
          <w:rFonts w:ascii="Georgia" w:hAnsi="Georgia" w:cs="Arial"/>
          <w:bCs/>
          <w:color w:val="1F497D" w:themeColor="text2"/>
          <w:sz w:val="28"/>
          <w:szCs w:val="28"/>
        </w:rPr>
        <w:t>201</w:t>
      </w:r>
      <w:r>
        <w:rPr>
          <w:rFonts w:ascii="Georgia" w:hAnsi="Georgia" w:cs="Arial"/>
          <w:bCs/>
          <w:color w:val="1F497D" w:themeColor="text2"/>
          <w:sz w:val="28"/>
          <w:szCs w:val="28"/>
        </w:rPr>
        <w:t>7</w:t>
      </w:r>
      <w:r w:rsidR="00F145BC">
        <w:rPr>
          <w:rFonts w:ascii="Georgia" w:hAnsi="Georgia" w:cs="Arial"/>
          <w:bCs/>
          <w:color w:val="1F497D" w:themeColor="text2"/>
          <w:sz w:val="28"/>
          <w:szCs w:val="28"/>
        </w:rPr>
        <w:t xml:space="preserve"> confermano </w:t>
      </w:r>
      <w:r w:rsidR="00F145BC" w:rsidRPr="009E6ED7">
        <w:rPr>
          <w:rFonts w:ascii="Georgia" w:hAnsi="Georgia" w:cs="Arial"/>
          <w:b/>
          <w:bCs/>
          <w:color w:val="1F497D" w:themeColor="text2"/>
          <w:sz w:val="28"/>
          <w:szCs w:val="28"/>
        </w:rPr>
        <w:t xml:space="preserve">la </w:t>
      </w:r>
      <w:r w:rsidR="00EB27AB">
        <w:rPr>
          <w:rFonts w:ascii="Georgia" w:hAnsi="Georgia" w:cs="Arial"/>
          <w:b/>
          <w:bCs/>
          <w:color w:val="1F497D" w:themeColor="text2"/>
          <w:sz w:val="28"/>
          <w:szCs w:val="28"/>
        </w:rPr>
        <w:t xml:space="preserve">tendenza alla </w:t>
      </w:r>
      <w:r w:rsidR="009E6ED7" w:rsidRPr="009E6ED7">
        <w:rPr>
          <w:rFonts w:ascii="Georgia" w:hAnsi="Georgia" w:cs="Arial"/>
          <w:b/>
          <w:bCs/>
          <w:color w:val="1F497D" w:themeColor="text2"/>
          <w:sz w:val="28"/>
          <w:szCs w:val="28"/>
        </w:rPr>
        <w:t>riduzione</w:t>
      </w:r>
      <w:r w:rsidRPr="00722772">
        <w:rPr>
          <w:rFonts w:ascii="Georgia" w:hAnsi="Georgia" w:cs="Arial"/>
          <w:b/>
          <w:bCs/>
          <w:color w:val="1F497D" w:themeColor="text2"/>
          <w:sz w:val="28"/>
          <w:szCs w:val="28"/>
        </w:rPr>
        <w:t xml:space="preserve"> dell’incidenza</w:t>
      </w:r>
      <w:r w:rsidR="00423989">
        <w:rPr>
          <w:rFonts w:ascii="Georgia" w:hAnsi="Georgia" w:cs="Arial"/>
          <w:b/>
          <w:bCs/>
          <w:color w:val="1F497D" w:themeColor="text2"/>
          <w:sz w:val="28"/>
          <w:szCs w:val="28"/>
        </w:rPr>
        <w:t xml:space="preserve"> </w:t>
      </w:r>
      <w:r w:rsidR="00D41F6A" w:rsidRPr="00D41F6A">
        <w:rPr>
          <w:rFonts w:ascii="Georgia" w:hAnsi="Georgia" w:cs="Arial"/>
          <w:bCs/>
          <w:color w:val="1F497D" w:themeColor="text2"/>
          <w:sz w:val="28"/>
          <w:szCs w:val="28"/>
        </w:rPr>
        <w:t>sul Pil</w:t>
      </w:r>
      <w:r w:rsidRPr="00961F7F">
        <w:rPr>
          <w:rFonts w:ascii="Georgia" w:hAnsi="Georgia" w:cs="Arial"/>
          <w:bCs/>
          <w:color w:val="1F497D" w:themeColor="text2"/>
          <w:sz w:val="28"/>
          <w:szCs w:val="28"/>
        </w:rPr>
        <w:t xml:space="preserve"> della componente non osservata dell’economia dopo il picco del 2014</w:t>
      </w:r>
      <w:r w:rsidR="00847E5E">
        <w:rPr>
          <w:rFonts w:ascii="Georgia" w:hAnsi="Georgia" w:cs="Arial"/>
          <w:bCs/>
          <w:color w:val="1F497D" w:themeColor="text2"/>
          <w:sz w:val="28"/>
          <w:szCs w:val="28"/>
        </w:rPr>
        <w:t xml:space="preserve"> (13,0%)</w:t>
      </w:r>
      <w:r w:rsidRPr="00961F7F">
        <w:rPr>
          <w:rFonts w:ascii="Georgia" w:hAnsi="Georgia" w:cs="Arial"/>
          <w:bCs/>
          <w:color w:val="1F497D" w:themeColor="text2"/>
          <w:sz w:val="28"/>
          <w:szCs w:val="28"/>
        </w:rPr>
        <w:t xml:space="preserve">. </w:t>
      </w:r>
    </w:p>
    <w:p w:rsidR="00772A8C" w:rsidRDefault="009D3E88" w:rsidP="00431A2A">
      <w:pPr>
        <w:pStyle w:val="Default"/>
        <w:tabs>
          <w:tab w:val="left" w:pos="567"/>
        </w:tabs>
        <w:spacing w:after="200" w:line="360" w:lineRule="exact"/>
        <w:ind w:left="142"/>
        <w:jc w:val="both"/>
        <w:rPr>
          <w:rFonts w:ascii="Georgia" w:hAnsi="Georgia" w:cs="Arial"/>
          <w:bCs/>
          <w:color w:val="1F497D" w:themeColor="text2"/>
          <w:sz w:val="28"/>
          <w:szCs w:val="28"/>
        </w:rPr>
      </w:pPr>
      <w:r w:rsidRPr="000E109F">
        <w:rPr>
          <w:rFonts w:ascii="Georgia" w:hAnsi="Georgia" w:cs="Arial"/>
          <w:bCs/>
          <w:color w:val="1F497D" w:themeColor="text2"/>
          <w:sz w:val="28"/>
          <w:szCs w:val="28"/>
        </w:rPr>
        <w:t>L</w:t>
      </w:r>
      <w:r w:rsidR="00E860E6" w:rsidRPr="000E109F">
        <w:rPr>
          <w:rFonts w:ascii="Georgia" w:hAnsi="Georgia" w:cs="Arial"/>
          <w:bCs/>
          <w:color w:val="1F497D" w:themeColor="text2"/>
          <w:sz w:val="28"/>
          <w:szCs w:val="28"/>
        </w:rPr>
        <w:t xml:space="preserve">e </w:t>
      </w:r>
      <w:r w:rsidR="00E860E6" w:rsidRPr="000D214A">
        <w:rPr>
          <w:rFonts w:ascii="Georgia" w:hAnsi="Georgia" w:cs="Arial"/>
          <w:b/>
          <w:bCs/>
          <w:color w:val="1F497D" w:themeColor="text2"/>
          <w:sz w:val="28"/>
          <w:szCs w:val="28"/>
        </w:rPr>
        <w:t xml:space="preserve">unità di </w:t>
      </w:r>
      <w:r w:rsidRPr="000D214A">
        <w:rPr>
          <w:rFonts w:ascii="Georgia" w:hAnsi="Georgia" w:cs="Arial"/>
          <w:b/>
          <w:bCs/>
          <w:color w:val="1F497D" w:themeColor="text2"/>
          <w:sz w:val="28"/>
          <w:szCs w:val="28"/>
        </w:rPr>
        <w:t>lavoro irregolar</w:t>
      </w:r>
      <w:r w:rsidR="009E6ED7">
        <w:rPr>
          <w:rFonts w:ascii="Georgia" w:hAnsi="Georgia" w:cs="Arial"/>
          <w:b/>
          <w:bCs/>
          <w:color w:val="1F497D" w:themeColor="text2"/>
          <w:sz w:val="28"/>
          <w:szCs w:val="28"/>
        </w:rPr>
        <w:t>i</w:t>
      </w:r>
      <w:r w:rsidR="00423989">
        <w:rPr>
          <w:rFonts w:ascii="Georgia" w:hAnsi="Georgia" w:cs="Arial"/>
          <w:b/>
          <w:bCs/>
          <w:color w:val="1F497D" w:themeColor="text2"/>
          <w:sz w:val="28"/>
          <w:szCs w:val="28"/>
        </w:rPr>
        <w:t xml:space="preserve"> </w:t>
      </w:r>
      <w:r w:rsidR="00E860E6" w:rsidRPr="000E109F">
        <w:rPr>
          <w:rFonts w:ascii="Georgia" w:hAnsi="Georgia" w:cs="Arial"/>
          <w:bCs/>
          <w:color w:val="1F497D" w:themeColor="text2"/>
          <w:sz w:val="28"/>
          <w:szCs w:val="28"/>
        </w:rPr>
        <w:t xml:space="preserve">nel 2017 sono </w:t>
      </w:r>
      <w:r w:rsidR="00E860E6" w:rsidRPr="000E109F">
        <w:rPr>
          <w:rFonts w:ascii="Georgia" w:hAnsi="Georgia" w:cs="Arial"/>
          <w:b/>
          <w:bCs/>
          <w:color w:val="1F497D" w:themeColor="text2"/>
          <w:sz w:val="28"/>
          <w:szCs w:val="28"/>
        </w:rPr>
        <w:t>3</w:t>
      </w:r>
      <w:r w:rsidR="00E860E6" w:rsidRPr="000E109F">
        <w:rPr>
          <w:rFonts w:ascii="Georgia" w:hAnsi="Georgia" w:cs="Arial"/>
          <w:bCs/>
          <w:color w:val="1F497D" w:themeColor="text2"/>
          <w:sz w:val="28"/>
          <w:szCs w:val="28"/>
        </w:rPr>
        <w:t xml:space="preserve"> milioni </w:t>
      </w:r>
      <w:r w:rsidR="0001235E" w:rsidRPr="000E109F">
        <w:rPr>
          <w:rFonts w:ascii="Georgia" w:hAnsi="Georgia" w:cs="Arial"/>
          <w:b/>
          <w:bCs/>
          <w:color w:val="1F497D" w:themeColor="text2"/>
          <w:sz w:val="28"/>
          <w:szCs w:val="28"/>
        </w:rPr>
        <w:t>700</w:t>
      </w:r>
      <w:r w:rsidR="00E860E6" w:rsidRPr="000E109F">
        <w:rPr>
          <w:rFonts w:ascii="Georgia" w:hAnsi="Georgia" w:cs="Arial"/>
          <w:bCs/>
          <w:color w:val="1F497D" w:themeColor="text2"/>
          <w:sz w:val="28"/>
          <w:szCs w:val="28"/>
        </w:rPr>
        <w:t xml:space="preserve"> mila</w:t>
      </w:r>
      <w:r w:rsidR="00346ED2" w:rsidRPr="000E109F">
        <w:rPr>
          <w:rFonts w:ascii="Georgia" w:hAnsi="Georgia" w:cs="Arial"/>
          <w:bCs/>
          <w:color w:val="1F497D" w:themeColor="text2"/>
          <w:sz w:val="28"/>
          <w:szCs w:val="28"/>
        </w:rPr>
        <w:t>, in</w:t>
      </w:r>
      <w:r w:rsidR="00E860E6" w:rsidRPr="000E109F">
        <w:rPr>
          <w:rFonts w:ascii="Georgia" w:hAnsi="Georgia" w:cs="Arial"/>
          <w:bCs/>
          <w:color w:val="1F497D" w:themeColor="text2"/>
          <w:sz w:val="28"/>
          <w:szCs w:val="28"/>
        </w:rPr>
        <w:t xml:space="preserve"> crescita di </w:t>
      </w:r>
      <w:r w:rsidR="00E860E6" w:rsidRPr="000E109F">
        <w:rPr>
          <w:rFonts w:ascii="Georgia" w:hAnsi="Georgia" w:cs="Arial"/>
          <w:b/>
          <w:bCs/>
          <w:color w:val="1F497D" w:themeColor="text2"/>
          <w:sz w:val="28"/>
          <w:szCs w:val="28"/>
        </w:rPr>
        <w:t xml:space="preserve">25 </w:t>
      </w:r>
      <w:r w:rsidR="00E860E6" w:rsidRPr="000E109F">
        <w:rPr>
          <w:rFonts w:ascii="Georgia" w:hAnsi="Georgia" w:cs="Arial"/>
          <w:bCs/>
          <w:color w:val="1F497D" w:themeColor="text2"/>
          <w:sz w:val="28"/>
          <w:szCs w:val="28"/>
        </w:rPr>
        <w:t>mila unità rispetto al</w:t>
      </w:r>
      <w:r w:rsidR="00346ED2" w:rsidRPr="000E109F">
        <w:rPr>
          <w:rFonts w:ascii="Georgia" w:hAnsi="Georgia" w:cs="Arial"/>
          <w:bCs/>
          <w:color w:val="1F497D" w:themeColor="text2"/>
          <w:sz w:val="28"/>
          <w:szCs w:val="28"/>
        </w:rPr>
        <w:t xml:space="preserve"> 2016</w:t>
      </w:r>
      <w:r w:rsidR="00723266" w:rsidRPr="000E109F">
        <w:rPr>
          <w:rFonts w:ascii="Georgia" w:hAnsi="Georgia" w:cs="Arial"/>
          <w:bCs/>
          <w:color w:val="1F497D" w:themeColor="text2"/>
          <w:sz w:val="28"/>
          <w:szCs w:val="28"/>
        </w:rPr>
        <w:t>.</w:t>
      </w:r>
    </w:p>
    <w:p w:rsidR="007A53CF" w:rsidRDefault="007A53CF" w:rsidP="00431A2A">
      <w:pPr>
        <w:pStyle w:val="Default"/>
        <w:tabs>
          <w:tab w:val="left" w:pos="567"/>
        </w:tabs>
        <w:spacing w:after="200" w:line="360" w:lineRule="exact"/>
        <w:ind w:left="142"/>
        <w:jc w:val="both"/>
        <w:rPr>
          <w:rFonts w:ascii="Georgia" w:hAnsi="Georgia" w:cs="Arial"/>
          <w:bCs/>
          <w:color w:val="1F497D" w:themeColor="text2"/>
          <w:sz w:val="28"/>
          <w:szCs w:val="28"/>
        </w:rPr>
      </w:pPr>
    </w:p>
    <w:tbl>
      <w:tblPr>
        <w:tblStyle w:val="Grigliatabella"/>
        <w:tblW w:w="24052" w:type="dxa"/>
        <w:tblInd w:w="-861" w:type="dxa"/>
        <w:tblBorders>
          <w:top w:val="none" w:sz="0" w:space="0" w:color="auto"/>
          <w:left w:val="none" w:sz="0" w:space="0" w:color="auto"/>
          <w:bottom w:val="none" w:sz="0" w:space="0" w:color="auto"/>
          <w:right w:val="single" w:sz="8" w:space="0" w:color="FFFFFF" w:themeColor="background1"/>
          <w:insideH w:val="none" w:sz="0" w:space="0" w:color="auto"/>
          <w:insideV w:val="single" w:sz="12" w:space="0" w:color="FFFFFF" w:themeColor="background1"/>
        </w:tblBorders>
        <w:tblLayout w:type="fixed"/>
        <w:tblCellMar>
          <w:left w:w="113" w:type="dxa"/>
          <w:right w:w="113" w:type="dxa"/>
        </w:tblCellMar>
        <w:tblLook w:val="04A0" w:firstRow="1" w:lastRow="0" w:firstColumn="1" w:lastColumn="0" w:noHBand="0" w:noVBand="1"/>
      </w:tblPr>
      <w:tblGrid>
        <w:gridCol w:w="4008"/>
        <w:gridCol w:w="4009"/>
        <w:gridCol w:w="4009"/>
        <w:gridCol w:w="12026"/>
      </w:tblGrid>
      <w:tr w:rsidR="00847E5E" w:rsidTr="00847E5E">
        <w:trPr>
          <w:trHeight w:val="72"/>
        </w:trPr>
        <w:tc>
          <w:tcPr>
            <w:tcW w:w="12026" w:type="dxa"/>
            <w:gridSpan w:val="3"/>
            <w:shd w:val="clear" w:color="auto" w:fill="D9D9D9" w:themeFill="background1" w:themeFillShade="D9"/>
          </w:tcPr>
          <w:p w:rsidR="00847E5E" w:rsidRPr="007539EA" w:rsidRDefault="00847E5E" w:rsidP="003A460A">
            <w:pPr>
              <w:tabs>
                <w:tab w:val="left" w:pos="1401"/>
                <w:tab w:val="left" w:pos="2295"/>
              </w:tabs>
              <w:autoSpaceDE w:val="0"/>
              <w:autoSpaceDN w:val="0"/>
              <w:adjustRightInd w:val="0"/>
              <w:rPr>
                <w:rFonts w:ascii="Georgia" w:hAnsi="Georgia" w:cs="Arial"/>
                <w:b/>
                <w:bCs/>
                <w:color w:val="1F497D" w:themeColor="text2"/>
                <w:sz w:val="16"/>
                <w:szCs w:val="16"/>
              </w:rPr>
            </w:pPr>
            <w:r>
              <w:rPr>
                <w:rFonts w:ascii="Georgia" w:hAnsi="Georgia" w:cs="Arial"/>
                <w:b/>
                <w:bCs/>
                <w:color w:val="1F497D" w:themeColor="text2"/>
                <w:sz w:val="16"/>
                <w:szCs w:val="16"/>
              </w:rPr>
              <w:tab/>
            </w:r>
            <w:r>
              <w:rPr>
                <w:rFonts w:ascii="Georgia" w:hAnsi="Georgia" w:cs="Arial"/>
                <w:b/>
                <w:bCs/>
                <w:color w:val="1F497D" w:themeColor="text2"/>
                <w:sz w:val="16"/>
                <w:szCs w:val="16"/>
              </w:rPr>
              <w:tab/>
            </w:r>
          </w:p>
        </w:tc>
        <w:tc>
          <w:tcPr>
            <w:tcW w:w="12026" w:type="dxa"/>
            <w:shd w:val="clear" w:color="auto" w:fill="D9D9D9" w:themeFill="background1" w:themeFillShade="D9"/>
          </w:tcPr>
          <w:p w:rsidR="00847E5E" w:rsidRDefault="00847E5E" w:rsidP="003A460A">
            <w:pPr>
              <w:tabs>
                <w:tab w:val="left" w:pos="1401"/>
                <w:tab w:val="left" w:pos="2295"/>
              </w:tabs>
              <w:autoSpaceDE w:val="0"/>
              <w:autoSpaceDN w:val="0"/>
              <w:adjustRightInd w:val="0"/>
              <w:rPr>
                <w:rFonts w:ascii="Georgia" w:hAnsi="Georgia" w:cs="Arial"/>
                <w:b/>
                <w:bCs/>
                <w:color w:val="1F497D" w:themeColor="text2"/>
                <w:sz w:val="16"/>
                <w:szCs w:val="16"/>
              </w:rPr>
            </w:pPr>
          </w:p>
        </w:tc>
      </w:tr>
      <w:tr w:rsidR="00847E5E" w:rsidRPr="001A62B5" w:rsidTr="00847E5E">
        <w:trPr>
          <w:trHeight w:val="3969"/>
        </w:trPr>
        <w:tc>
          <w:tcPr>
            <w:tcW w:w="4008" w:type="dxa"/>
            <w:shd w:val="clear" w:color="auto" w:fill="D9D9D9" w:themeFill="background1" w:themeFillShade="D9"/>
          </w:tcPr>
          <w:p w:rsidR="00847E5E" w:rsidRPr="00294DC2" w:rsidRDefault="00847E5E" w:rsidP="00A2532B">
            <w:pPr>
              <w:tabs>
                <w:tab w:val="left" w:pos="459"/>
              </w:tabs>
              <w:autoSpaceDE w:val="0"/>
              <w:autoSpaceDN w:val="0"/>
              <w:adjustRightInd w:val="0"/>
              <w:ind w:left="459"/>
              <w:rPr>
                <w:rFonts w:ascii="Georgia" w:hAnsi="Georgia" w:cs="Arial"/>
                <w:bCs/>
                <w:color w:val="E42618"/>
                <w:sz w:val="88"/>
                <w:szCs w:val="88"/>
              </w:rPr>
            </w:pPr>
            <w:r>
              <w:rPr>
                <w:rFonts w:ascii="Georgia" w:hAnsi="Georgia" w:cs="Arial"/>
                <w:bCs/>
                <w:color w:val="E42618"/>
                <w:sz w:val="88"/>
                <w:szCs w:val="88"/>
              </w:rPr>
              <w:t>211 mld</w:t>
            </w:r>
          </w:p>
          <w:p w:rsidR="00847E5E" w:rsidRPr="001A62B5" w:rsidRDefault="00847E5E" w:rsidP="00A2532B">
            <w:pPr>
              <w:tabs>
                <w:tab w:val="left" w:pos="317"/>
                <w:tab w:val="left" w:pos="459"/>
                <w:tab w:val="left" w:pos="1204"/>
              </w:tabs>
              <w:autoSpaceDE w:val="0"/>
              <w:autoSpaceDN w:val="0"/>
              <w:adjustRightInd w:val="0"/>
              <w:ind w:left="459"/>
              <w:rPr>
                <w:rFonts w:ascii="Georgia" w:hAnsi="Georgia" w:cs="Arial"/>
                <w:b/>
                <w:bCs/>
                <w:color w:val="244061" w:themeColor="accent1" w:themeShade="80"/>
                <w:sz w:val="22"/>
                <w:szCs w:val="22"/>
              </w:rPr>
            </w:pPr>
            <w:r>
              <w:rPr>
                <w:rFonts w:ascii="Georgia" w:hAnsi="Georgia" w:cs="Arial"/>
                <w:b/>
                <w:bCs/>
                <w:color w:val="244061" w:themeColor="accent1" w:themeShade="80"/>
                <w:sz w:val="22"/>
                <w:szCs w:val="22"/>
              </w:rPr>
              <w:tab/>
            </w:r>
          </w:p>
          <w:p w:rsidR="00847E5E" w:rsidRPr="000A1F4B" w:rsidRDefault="00847E5E" w:rsidP="000A1F4B">
            <w:pPr>
              <w:tabs>
                <w:tab w:val="left" w:pos="459"/>
              </w:tabs>
              <w:autoSpaceDE w:val="0"/>
              <w:autoSpaceDN w:val="0"/>
              <w:adjustRightInd w:val="0"/>
              <w:ind w:left="459"/>
              <w:rPr>
                <w:rFonts w:ascii="Georgia" w:hAnsi="Georgia" w:cs="Arial"/>
                <w:b/>
                <w:bCs/>
                <w:color w:val="E42618"/>
                <w:sz w:val="26"/>
                <w:szCs w:val="26"/>
              </w:rPr>
            </w:pPr>
            <w:r>
              <w:rPr>
                <w:rFonts w:ascii="Georgia" w:hAnsi="Georgia" w:cs="Arial"/>
                <w:b/>
                <w:bCs/>
                <w:color w:val="E42618"/>
                <w:sz w:val="26"/>
                <w:szCs w:val="26"/>
              </w:rPr>
              <w:t xml:space="preserve">Il valore dell’economia non osservata nel 2107 </w:t>
            </w:r>
          </w:p>
          <w:p w:rsidR="00847E5E" w:rsidRDefault="00847E5E" w:rsidP="000A1F4B">
            <w:pPr>
              <w:tabs>
                <w:tab w:val="left" w:pos="459"/>
              </w:tabs>
              <w:autoSpaceDE w:val="0"/>
              <w:autoSpaceDN w:val="0"/>
              <w:adjustRightInd w:val="0"/>
              <w:ind w:left="459"/>
              <w:rPr>
                <w:rFonts w:ascii="Georgia" w:hAnsi="Georgia" w:cs="Arial"/>
                <w:b/>
                <w:bCs/>
                <w:color w:val="E42618"/>
                <w:sz w:val="26"/>
                <w:szCs w:val="26"/>
              </w:rPr>
            </w:pPr>
          </w:p>
          <w:p w:rsidR="00847E5E" w:rsidRDefault="00847E5E" w:rsidP="000A1F4B">
            <w:pPr>
              <w:tabs>
                <w:tab w:val="left" w:pos="459"/>
              </w:tabs>
              <w:autoSpaceDE w:val="0"/>
              <w:autoSpaceDN w:val="0"/>
              <w:adjustRightInd w:val="0"/>
              <w:ind w:left="459"/>
              <w:rPr>
                <w:rFonts w:ascii="Georgia" w:hAnsi="Georgia" w:cs="Arial"/>
                <w:b/>
                <w:bCs/>
                <w:color w:val="E42618"/>
                <w:sz w:val="26"/>
                <w:szCs w:val="26"/>
              </w:rPr>
            </w:pPr>
          </w:p>
          <w:p w:rsidR="00847E5E" w:rsidRPr="000A1F4B" w:rsidRDefault="00300A13" w:rsidP="00300A13">
            <w:pPr>
              <w:tabs>
                <w:tab w:val="left" w:pos="459"/>
              </w:tabs>
              <w:autoSpaceDE w:val="0"/>
              <w:autoSpaceDN w:val="0"/>
              <w:adjustRightInd w:val="0"/>
              <w:ind w:left="459"/>
              <w:rPr>
                <w:rFonts w:ascii="Arial Narrow" w:hAnsi="Arial Narrow" w:cs="Arial"/>
              </w:rPr>
            </w:pPr>
            <w:r>
              <w:rPr>
                <w:rFonts w:ascii="Arial Narrow" w:hAnsi="Arial Narrow" w:cs="Arial"/>
                <w:bCs/>
                <w:color w:val="1F497D" w:themeColor="text2"/>
              </w:rPr>
              <w:t>S</w:t>
            </w:r>
            <w:r w:rsidR="00847E5E" w:rsidRPr="00D41F6A">
              <w:rPr>
                <w:rFonts w:ascii="Arial Narrow" w:hAnsi="Arial Narrow" w:cs="Arial"/>
                <w:bCs/>
                <w:color w:val="1F497D" w:themeColor="text2"/>
              </w:rPr>
              <w:t>otto</w:t>
            </w:r>
            <w:r>
              <w:rPr>
                <w:rFonts w:ascii="Arial Narrow" w:hAnsi="Arial Narrow" w:cs="Arial"/>
                <w:bCs/>
                <w:color w:val="1F497D" w:themeColor="text2"/>
              </w:rPr>
              <w:t>-</w:t>
            </w:r>
            <w:r w:rsidR="00847E5E" w:rsidRPr="00D41F6A">
              <w:rPr>
                <w:rFonts w:ascii="Arial Narrow" w:hAnsi="Arial Narrow" w:cs="Arial"/>
                <w:bCs/>
                <w:color w:val="1F497D" w:themeColor="text2"/>
              </w:rPr>
              <w:t>dichiarazione e</w:t>
            </w:r>
            <w:r>
              <w:rPr>
                <w:rFonts w:ascii="Arial Narrow" w:hAnsi="Arial Narrow" w:cs="Arial"/>
                <w:bCs/>
                <w:color w:val="1F497D" w:themeColor="text2"/>
              </w:rPr>
              <w:t xml:space="preserve"> impiego di</w:t>
            </w:r>
            <w:r w:rsidR="00847E5E" w:rsidRPr="00D41F6A">
              <w:rPr>
                <w:rFonts w:ascii="Arial Narrow" w:hAnsi="Arial Narrow" w:cs="Arial"/>
                <w:bCs/>
                <w:color w:val="1F497D" w:themeColor="text2"/>
              </w:rPr>
              <w:t xml:space="preserve"> lavoro irregolare </w:t>
            </w:r>
            <w:r>
              <w:rPr>
                <w:rFonts w:ascii="Arial Narrow" w:hAnsi="Arial Narrow" w:cs="Arial"/>
                <w:bCs/>
                <w:color w:val="1F497D" w:themeColor="text2"/>
              </w:rPr>
              <w:t xml:space="preserve">valgono da soli </w:t>
            </w:r>
            <w:r w:rsidR="00847E5E">
              <w:rPr>
                <w:rFonts w:ascii="Arial Narrow" w:hAnsi="Arial Narrow" w:cs="Arial"/>
                <w:bCs/>
                <w:color w:val="1F497D" w:themeColor="text2"/>
              </w:rPr>
              <w:t>176 miliardi di euro</w:t>
            </w:r>
          </w:p>
        </w:tc>
        <w:tc>
          <w:tcPr>
            <w:tcW w:w="4009" w:type="dxa"/>
            <w:shd w:val="clear" w:color="auto" w:fill="D9D9D9" w:themeFill="background1" w:themeFillShade="D9"/>
          </w:tcPr>
          <w:p w:rsidR="00847E5E" w:rsidRPr="00084C5A" w:rsidRDefault="00847E5E" w:rsidP="00A2532B">
            <w:pPr>
              <w:tabs>
                <w:tab w:val="left" w:pos="851"/>
              </w:tabs>
              <w:autoSpaceDE w:val="0"/>
              <w:autoSpaceDN w:val="0"/>
              <w:adjustRightInd w:val="0"/>
              <w:ind w:left="143"/>
              <w:rPr>
                <w:rFonts w:ascii="Georgia" w:hAnsi="Georgia" w:cs="Arial"/>
                <w:bCs/>
                <w:color w:val="1F497D" w:themeColor="text2"/>
                <w:sz w:val="88"/>
                <w:szCs w:val="88"/>
              </w:rPr>
            </w:pPr>
            <w:r>
              <w:rPr>
                <w:rFonts w:ascii="Georgia" w:hAnsi="Georgia" w:cs="Arial"/>
                <w:bCs/>
                <w:color w:val="1F497D" w:themeColor="text2"/>
                <w:sz w:val="88"/>
                <w:szCs w:val="88"/>
              </w:rPr>
              <w:t>12,1%</w:t>
            </w:r>
          </w:p>
          <w:p w:rsidR="00871F3C" w:rsidRDefault="00871F3C" w:rsidP="000F440B">
            <w:pPr>
              <w:tabs>
                <w:tab w:val="left" w:pos="851"/>
              </w:tabs>
              <w:autoSpaceDE w:val="0"/>
              <w:autoSpaceDN w:val="0"/>
              <w:adjustRightInd w:val="0"/>
              <w:ind w:left="143"/>
              <w:rPr>
                <w:rFonts w:ascii="Georgia" w:hAnsi="Georgia" w:cs="Arial"/>
                <w:b/>
                <w:bCs/>
                <w:color w:val="1F497D" w:themeColor="text2"/>
                <w:sz w:val="26"/>
                <w:szCs w:val="26"/>
              </w:rPr>
            </w:pPr>
          </w:p>
          <w:p w:rsidR="00847E5E" w:rsidRPr="00BA603F" w:rsidRDefault="00847E5E" w:rsidP="000F440B">
            <w:pPr>
              <w:tabs>
                <w:tab w:val="left" w:pos="851"/>
              </w:tabs>
              <w:autoSpaceDE w:val="0"/>
              <w:autoSpaceDN w:val="0"/>
              <w:adjustRightInd w:val="0"/>
              <w:ind w:left="143"/>
              <w:rPr>
                <w:rFonts w:ascii="Georgia" w:hAnsi="Georgia" w:cs="Arial"/>
                <w:b/>
                <w:bCs/>
                <w:color w:val="1F497D" w:themeColor="text2"/>
                <w:sz w:val="26"/>
                <w:szCs w:val="26"/>
              </w:rPr>
            </w:pPr>
            <w:r>
              <w:rPr>
                <w:rFonts w:ascii="Georgia" w:hAnsi="Georgia" w:cs="Arial"/>
                <w:b/>
                <w:bCs/>
                <w:color w:val="1F497D" w:themeColor="text2"/>
                <w:sz w:val="26"/>
                <w:szCs w:val="26"/>
              </w:rPr>
              <w:t>L’incidenza sul P</w:t>
            </w:r>
            <w:r w:rsidR="00871F3C">
              <w:rPr>
                <w:rFonts w:ascii="Georgia" w:hAnsi="Georgia" w:cs="Arial"/>
                <w:b/>
                <w:bCs/>
                <w:color w:val="1F497D" w:themeColor="text2"/>
                <w:sz w:val="26"/>
                <w:szCs w:val="26"/>
              </w:rPr>
              <w:t>il</w:t>
            </w:r>
            <w:r>
              <w:rPr>
                <w:rFonts w:ascii="Georgia" w:hAnsi="Georgia" w:cs="Arial"/>
                <w:b/>
                <w:bCs/>
                <w:color w:val="1F497D" w:themeColor="text2"/>
                <w:sz w:val="26"/>
                <w:szCs w:val="26"/>
              </w:rPr>
              <w:t xml:space="preserve"> dell’economia non osservata nel 2017 </w:t>
            </w:r>
          </w:p>
          <w:p w:rsidR="00847E5E" w:rsidRDefault="00847E5E" w:rsidP="000F440B">
            <w:pPr>
              <w:tabs>
                <w:tab w:val="left" w:pos="851"/>
              </w:tabs>
              <w:autoSpaceDE w:val="0"/>
              <w:autoSpaceDN w:val="0"/>
              <w:adjustRightInd w:val="0"/>
              <w:ind w:left="143"/>
              <w:rPr>
                <w:rFonts w:ascii="Arial Narrow" w:hAnsi="Arial Narrow" w:cs="Arial"/>
                <w:bCs/>
                <w:color w:val="1F497D" w:themeColor="text2"/>
              </w:rPr>
            </w:pPr>
          </w:p>
          <w:p w:rsidR="00847E5E" w:rsidRPr="001A62B5" w:rsidRDefault="003474C0" w:rsidP="00934608">
            <w:pPr>
              <w:tabs>
                <w:tab w:val="left" w:pos="0"/>
              </w:tabs>
              <w:autoSpaceDE w:val="0"/>
              <w:autoSpaceDN w:val="0"/>
              <w:adjustRightInd w:val="0"/>
              <w:ind w:left="143"/>
              <w:rPr>
                <w:rFonts w:ascii="Georgia" w:hAnsi="Georgia" w:cs="Arial"/>
                <w:b/>
                <w:bCs/>
                <w:color w:val="244061" w:themeColor="accent1" w:themeShade="80"/>
                <w:sz w:val="28"/>
                <w:szCs w:val="28"/>
              </w:rPr>
            </w:pPr>
            <w:r>
              <w:rPr>
                <w:rFonts w:ascii="Arial Narrow" w:hAnsi="Arial Narrow" w:cs="Arial"/>
                <w:bCs/>
                <w:color w:val="1F497D" w:themeColor="text2"/>
              </w:rPr>
              <w:t>Valori più alti negli Altri servizi per la persona</w:t>
            </w:r>
            <w:r w:rsidR="00423989">
              <w:rPr>
                <w:rFonts w:ascii="Arial Narrow" w:hAnsi="Arial Narrow" w:cs="Arial"/>
                <w:bCs/>
                <w:color w:val="1F497D" w:themeColor="text2"/>
              </w:rPr>
              <w:t xml:space="preserve"> </w:t>
            </w:r>
            <w:r>
              <w:rPr>
                <w:rFonts w:ascii="Arial Narrow" w:hAnsi="Arial Narrow" w:cs="Arial"/>
                <w:bCs/>
                <w:color w:val="1F497D" w:themeColor="text2"/>
              </w:rPr>
              <w:t>(36,9%), nel Commercio all’ingrosso e al dettaglio, nei Trasporti e magazzinaggio nelle Attività di alloggio e ristorazione (24,0%) e nelle Costruzioni (22,1%)</w:t>
            </w:r>
          </w:p>
        </w:tc>
        <w:tc>
          <w:tcPr>
            <w:tcW w:w="4009" w:type="dxa"/>
            <w:shd w:val="clear" w:color="auto" w:fill="D9D9D9" w:themeFill="background1" w:themeFillShade="D9"/>
            <w:tcMar>
              <w:left w:w="284" w:type="dxa"/>
              <w:right w:w="284" w:type="dxa"/>
            </w:tcMar>
          </w:tcPr>
          <w:p w:rsidR="00847E5E" w:rsidRPr="000E109F" w:rsidRDefault="00B32D05" w:rsidP="009C78FA">
            <w:pPr>
              <w:tabs>
                <w:tab w:val="left" w:pos="851"/>
                <w:tab w:val="left" w:pos="2575"/>
              </w:tabs>
              <w:autoSpaceDE w:val="0"/>
              <w:autoSpaceDN w:val="0"/>
              <w:adjustRightInd w:val="0"/>
              <w:ind w:right="570"/>
              <w:rPr>
                <w:rFonts w:ascii="Georgia" w:hAnsi="Georgia" w:cs="Arial"/>
                <w:b/>
                <w:bCs/>
                <w:color w:val="244061" w:themeColor="accent1" w:themeShade="80"/>
                <w:sz w:val="22"/>
                <w:szCs w:val="22"/>
              </w:rPr>
            </w:pPr>
            <w:r w:rsidRPr="000E109F">
              <w:rPr>
                <w:rFonts w:ascii="Georgia" w:hAnsi="Georgia" w:cs="Arial"/>
                <w:bCs/>
                <w:color w:val="E42618"/>
                <w:sz w:val="88"/>
                <w:szCs w:val="88"/>
              </w:rPr>
              <w:t>+</w:t>
            </w:r>
            <w:r w:rsidR="00E860E6" w:rsidRPr="000E109F">
              <w:rPr>
                <w:rFonts w:ascii="Georgia" w:hAnsi="Georgia" w:cs="Arial"/>
                <w:bCs/>
                <w:color w:val="E42618"/>
                <w:sz w:val="88"/>
                <w:szCs w:val="88"/>
              </w:rPr>
              <w:t>0,7</w:t>
            </w:r>
            <w:r w:rsidR="00847E5E" w:rsidRPr="000E109F">
              <w:rPr>
                <w:rFonts w:ascii="Georgia" w:hAnsi="Georgia" w:cs="Arial"/>
                <w:bCs/>
                <w:color w:val="E42618"/>
                <w:sz w:val="88"/>
                <w:szCs w:val="88"/>
              </w:rPr>
              <w:t>%</w:t>
            </w:r>
          </w:p>
          <w:p w:rsidR="00847E5E" w:rsidRPr="000E109F" w:rsidRDefault="00847E5E" w:rsidP="00A2532B">
            <w:pPr>
              <w:tabs>
                <w:tab w:val="left" w:pos="851"/>
                <w:tab w:val="left" w:pos="2575"/>
              </w:tabs>
              <w:autoSpaceDE w:val="0"/>
              <w:autoSpaceDN w:val="0"/>
              <w:adjustRightInd w:val="0"/>
              <w:ind w:right="570"/>
              <w:rPr>
                <w:rFonts w:ascii="Georgia" w:hAnsi="Georgia" w:cs="Arial"/>
                <w:b/>
                <w:bCs/>
                <w:color w:val="E42618"/>
                <w:sz w:val="26"/>
                <w:szCs w:val="26"/>
              </w:rPr>
            </w:pPr>
          </w:p>
          <w:p w:rsidR="00E860E6" w:rsidRDefault="00431A2A" w:rsidP="00E860E6">
            <w:pPr>
              <w:tabs>
                <w:tab w:val="left" w:pos="851"/>
                <w:tab w:val="left" w:pos="2575"/>
              </w:tabs>
              <w:autoSpaceDE w:val="0"/>
              <w:autoSpaceDN w:val="0"/>
              <w:adjustRightInd w:val="0"/>
              <w:ind w:left="5" w:right="570"/>
              <w:rPr>
                <w:rFonts w:ascii="Arial" w:hAnsi="Arial" w:cs="Arial"/>
                <w:iCs/>
                <w:noProof/>
                <w:sz w:val="20"/>
              </w:rPr>
            </w:pPr>
            <w:r>
              <w:rPr>
                <w:rFonts w:ascii="Georgia" w:hAnsi="Georgia" w:cs="Arial"/>
                <w:b/>
                <w:bCs/>
                <w:color w:val="E42618"/>
                <w:sz w:val="26"/>
                <w:szCs w:val="26"/>
              </w:rPr>
              <w:t>L’a</w:t>
            </w:r>
            <w:r w:rsidR="00415950" w:rsidRPr="000E109F">
              <w:rPr>
                <w:rFonts w:ascii="Georgia" w:hAnsi="Georgia" w:cs="Arial"/>
                <w:b/>
                <w:bCs/>
                <w:color w:val="E42618"/>
                <w:sz w:val="26"/>
                <w:szCs w:val="26"/>
              </w:rPr>
              <w:t xml:space="preserve">umento delle </w:t>
            </w:r>
            <w:r w:rsidR="00E860E6" w:rsidRPr="000E109F">
              <w:rPr>
                <w:rFonts w:ascii="Georgia" w:hAnsi="Georgia" w:cs="Arial"/>
                <w:b/>
                <w:bCs/>
                <w:color w:val="E42618"/>
                <w:sz w:val="26"/>
                <w:szCs w:val="26"/>
              </w:rPr>
              <w:t xml:space="preserve">unità di lavoro irregolari </w:t>
            </w:r>
          </w:p>
          <w:p w:rsidR="00E860E6" w:rsidRDefault="00E860E6" w:rsidP="00E860E6">
            <w:pPr>
              <w:tabs>
                <w:tab w:val="left" w:pos="851"/>
                <w:tab w:val="left" w:pos="2575"/>
              </w:tabs>
              <w:autoSpaceDE w:val="0"/>
              <w:autoSpaceDN w:val="0"/>
              <w:adjustRightInd w:val="0"/>
              <w:ind w:left="5" w:right="570"/>
              <w:rPr>
                <w:rFonts w:ascii="Arial" w:hAnsi="Arial" w:cs="Arial"/>
                <w:iCs/>
                <w:noProof/>
                <w:sz w:val="20"/>
              </w:rPr>
            </w:pPr>
          </w:p>
          <w:p w:rsidR="00847E5E" w:rsidRPr="0080340C" w:rsidRDefault="003C331C" w:rsidP="00431A2A">
            <w:pPr>
              <w:rPr>
                <w:rFonts w:ascii="Arial Narrow" w:hAnsi="Arial Narrow" w:cs="Arial"/>
                <w:bCs/>
                <w:color w:val="1F497D" w:themeColor="text2"/>
              </w:rPr>
            </w:pPr>
            <w:r>
              <w:rPr>
                <w:rFonts w:ascii="Arial Narrow" w:hAnsi="Arial Narrow" w:cs="Arial"/>
                <w:bCs/>
                <w:color w:val="1F497D" w:themeColor="text2"/>
              </w:rPr>
              <w:t>La</w:t>
            </w:r>
            <w:r w:rsidR="00E06C2D" w:rsidRPr="00E06C2D">
              <w:rPr>
                <w:rFonts w:ascii="Arial Narrow" w:hAnsi="Arial Narrow" w:cs="Arial"/>
                <w:bCs/>
                <w:color w:val="1F497D" w:themeColor="text2"/>
              </w:rPr>
              <w:t xml:space="preserve"> compon</w:t>
            </w:r>
            <w:r w:rsidR="008131E7">
              <w:rPr>
                <w:rFonts w:ascii="Arial Narrow" w:hAnsi="Arial Narrow" w:cs="Arial"/>
                <w:bCs/>
                <w:color w:val="1F497D" w:themeColor="text2"/>
              </w:rPr>
              <w:t>ente</w:t>
            </w:r>
            <w:r w:rsidR="00EB27AB">
              <w:rPr>
                <w:rFonts w:ascii="Arial Narrow" w:hAnsi="Arial Narrow" w:cs="Arial"/>
                <w:bCs/>
                <w:color w:val="1F497D" w:themeColor="text2"/>
              </w:rPr>
              <w:t xml:space="preserve"> del lavoro</w:t>
            </w:r>
            <w:r w:rsidR="008131E7">
              <w:rPr>
                <w:rFonts w:ascii="Arial Narrow" w:hAnsi="Arial Narrow" w:cs="Arial"/>
                <w:bCs/>
                <w:color w:val="1F497D" w:themeColor="text2"/>
              </w:rPr>
              <w:t xml:space="preserve"> non regolare dipendente </w:t>
            </w:r>
            <w:r>
              <w:rPr>
                <w:rFonts w:ascii="Arial Narrow" w:hAnsi="Arial Narrow" w:cs="Arial"/>
                <w:bCs/>
                <w:color w:val="1F497D" w:themeColor="text2"/>
              </w:rPr>
              <w:t xml:space="preserve">cresce </w:t>
            </w:r>
            <w:r w:rsidR="008131E7">
              <w:rPr>
                <w:rFonts w:ascii="Arial Narrow" w:hAnsi="Arial Narrow" w:cs="Arial"/>
                <w:bCs/>
                <w:color w:val="1F497D" w:themeColor="text2"/>
              </w:rPr>
              <w:t xml:space="preserve">del </w:t>
            </w:r>
            <w:r w:rsidR="00E06C2D" w:rsidRPr="00E06C2D">
              <w:rPr>
                <w:rFonts w:ascii="Arial Narrow" w:hAnsi="Arial Narrow" w:cs="Arial"/>
                <w:bCs/>
                <w:color w:val="1F497D" w:themeColor="text2"/>
              </w:rPr>
              <w:t>3,1%</w:t>
            </w:r>
            <w:r w:rsidR="008131E7">
              <w:rPr>
                <w:rFonts w:ascii="Arial Narrow" w:hAnsi="Arial Narrow" w:cs="Arial"/>
                <w:bCs/>
                <w:color w:val="1F497D" w:themeColor="text2"/>
              </w:rPr>
              <w:t xml:space="preserve"> (</w:t>
            </w:r>
            <w:r w:rsidR="00415950">
              <w:rPr>
                <w:rFonts w:ascii="Arial Narrow" w:hAnsi="Arial Narrow" w:cs="Arial"/>
                <w:bCs/>
                <w:color w:val="1F497D" w:themeColor="text2"/>
              </w:rPr>
              <w:t>+</w:t>
            </w:r>
            <w:r w:rsidR="008131E7" w:rsidRPr="00E06C2D">
              <w:rPr>
                <w:rFonts w:ascii="Arial Narrow" w:hAnsi="Arial Narrow" w:cs="Arial"/>
                <w:bCs/>
                <w:color w:val="1F497D" w:themeColor="text2"/>
              </w:rPr>
              <w:t>80 mila unità</w:t>
            </w:r>
            <w:r w:rsidR="009E6ED7">
              <w:rPr>
                <w:rFonts w:ascii="Arial Narrow" w:hAnsi="Arial Narrow" w:cs="Arial"/>
                <w:bCs/>
                <w:color w:val="1F497D" w:themeColor="text2"/>
              </w:rPr>
              <w:t>)</w:t>
            </w:r>
            <w:r>
              <w:rPr>
                <w:rFonts w:ascii="Arial Narrow" w:hAnsi="Arial Narrow" w:cs="Arial"/>
                <w:bCs/>
                <w:color w:val="1F497D" w:themeColor="text2"/>
              </w:rPr>
              <w:t xml:space="preserve">, </w:t>
            </w:r>
            <w:r w:rsidR="00E06C2D" w:rsidRPr="00E06C2D">
              <w:rPr>
                <w:rFonts w:ascii="Arial Narrow" w:hAnsi="Arial Narrow" w:cs="Arial"/>
                <w:bCs/>
                <w:color w:val="1F497D" w:themeColor="text2"/>
              </w:rPr>
              <w:t xml:space="preserve">quella indipendente </w:t>
            </w:r>
            <w:r w:rsidR="000119F3">
              <w:rPr>
                <w:rFonts w:ascii="Arial Narrow" w:hAnsi="Arial Narrow" w:cs="Arial"/>
                <w:bCs/>
                <w:color w:val="1F497D" w:themeColor="text2"/>
              </w:rPr>
              <w:t>si riduce</w:t>
            </w:r>
            <w:r w:rsidR="00423989">
              <w:rPr>
                <w:rFonts w:ascii="Arial Narrow" w:hAnsi="Arial Narrow" w:cs="Arial"/>
                <w:bCs/>
                <w:color w:val="1F497D" w:themeColor="text2"/>
              </w:rPr>
              <w:t xml:space="preserve"> </w:t>
            </w:r>
            <w:r w:rsidR="008131E7">
              <w:rPr>
                <w:rFonts w:ascii="Arial Narrow" w:hAnsi="Arial Narrow" w:cs="Arial"/>
                <w:bCs/>
                <w:color w:val="1F497D" w:themeColor="text2"/>
              </w:rPr>
              <w:t xml:space="preserve">del </w:t>
            </w:r>
            <w:r w:rsidR="00E06C2D" w:rsidRPr="00E06C2D">
              <w:rPr>
                <w:rFonts w:ascii="Arial Narrow" w:hAnsi="Arial Narrow" w:cs="Arial"/>
                <w:bCs/>
                <w:color w:val="1F497D" w:themeColor="text2"/>
              </w:rPr>
              <w:t>5,2%</w:t>
            </w:r>
            <w:r w:rsidR="008131E7">
              <w:rPr>
                <w:rFonts w:ascii="Arial Narrow" w:hAnsi="Arial Narrow" w:cs="Arial"/>
                <w:bCs/>
                <w:color w:val="1F497D" w:themeColor="text2"/>
              </w:rPr>
              <w:t xml:space="preserve"> (</w:t>
            </w:r>
            <w:r w:rsidR="00415950">
              <w:rPr>
                <w:rFonts w:ascii="Arial Narrow" w:hAnsi="Arial Narrow" w:cs="Arial"/>
                <w:bCs/>
                <w:color w:val="1F497D" w:themeColor="text2"/>
              </w:rPr>
              <w:t>-</w:t>
            </w:r>
            <w:r w:rsidR="008131E7" w:rsidRPr="00E06C2D">
              <w:rPr>
                <w:rFonts w:ascii="Arial Narrow" w:hAnsi="Arial Narrow" w:cs="Arial"/>
                <w:bCs/>
                <w:color w:val="1F497D" w:themeColor="text2"/>
              </w:rPr>
              <w:t>55 mila unità</w:t>
            </w:r>
            <w:r w:rsidR="00E06C2D" w:rsidRPr="00E06C2D">
              <w:rPr>
                <w:rFonts w:ascii="Arial Narrow" w:hAnsi="Arial Narrow" w:cs="Arial"/>
                <w:bCs/>
                <w:color w:val="1F497D" w:themeColor="text2"/>
              </w:rPr>
              <w:t>)</w:t>
            </w:r>
          </w:p>
        </w:tc>
        <w:tc>
          <w:tcPr>
            <w:tcW w:w="12026" w:type="dxa"/>
            <w:shd w:val="clear" w:color="auto" w:fill="D9D9D9" w:themeFill="background1" w:themeFillShade="D9"/>
          </w:tcPr>
          <w:p w:rsidR="00847E5E" w:rsidRDefault="00847E5E" w:rsidP="009C78FA">
            <w:pPr>
              <w:tabs>
                <w:tab w:val="left" w:pos="851"/>
                <w:tab w:val="left" w:pos="2575"/>
              </w:tabs>
              <w:autoSpaceDE w:val="0"/>
              <w:autoSpaceDN w:val="0"/>
              <w:adjustRightInd w:val="0"/>
              <w:ind w:right="570"/>
              <w:rPr>
                <w:rFonts w:ascii="Georgia" w:hAnsi="Georgia" w:cs="Arial"/>
                <w:bCs/>
                <w:color w:val="E42618"/>
                <w:sz w:val="88"/>
                <w:szCs w:val="88"/>
              </w:rPr>
            </w:pPr>
          </w:p>
        </w:tc>
      </w:tr>
      <w:tr w:rsidR="00847E5E" w:rsidTr="00847E5E">
        <w:trPr>
          <w:trHeight w:val="81"/>
        </w:trPr>
        <w:tc>
          <w:tcPr>
            <w:tcW w:w="12026" w:type="dxa"/>
            <w:gridSpan w:val="3"/>
            <w:shd w:val="clear" w:color="auto" w:fill="D9D9D9" w:themeFill="background1" w:themeFillShade="D9"/>
          </w:tcPr>
          <w:p w:rsidR="00847E5E" w:rsidRPr="000467F2" w:rsidRDefault="00847E5E" w:rsidP="003A460A">
            <w:pPr>
              <w:tabs>
                <w:tab w:val="left" w:pos="4424"/>
              </w:tabs>
              <w:ind w:left="797"/>
              <w:rPr>
                <w:rFonts w:ascii="Georgia" w:hAnsi="Georgia" w:cs="Arial"/>
                <w:sz w:val="16"/>
                <w:szCs w:val="16"/>
              </w:rPr>
            </w:pPr>
            <w:r>
              <w:rPr>
                <w:rFonts w:ascii="Georgia" w:hAnsi="Georgia" w:cs="Arial"/>
                <w:sz w:val="16"/>
                <w:szCs w:val="16"/>
              </w:rPr>
              <w:tab/>
            </w:r>
          </w:p>
        </w:tc>
        <w:tc>
          <w:tcPr>
            <w:tcW w:w="12026" w:type="dxa"/>
            <w:shd w:val="clear" w:color="auto" w:fill="D9D9D9" w:themeFill="background1" w:themeFillShade="D9"/>
          </w:tcPr>
          <w:p w:rsidR="00847E5E" w:rsidRDefault="00847E5E" w:rsidP="003A460A">
            <w:pPr>
              <w:tabs>
                <w:tab w:val="left" w:pos="4424"/>
              </w:tabs>
              <w:ind w:left="797"/>
              <w:rPr>
                <w:rFonts w:ascii="Georgia" w:hAnsi="Georgia" w:cs="Arial"/>
                <w:sz w:val="16"/>
                <w:szCs w:val="16"/>
              </w:rPr>
            </w:pPr>
          </w:p>
        </w:tc>
      </w:tr>
    </w:tbl>
    <w:p w:rsidR="000467F2" w:rsidRPr="0058002A" w:rsidRDefault="007E6EAA" w:rsidP="007E6EAA">
      <w:pPr>
        <w:rPr>
          <w:rFonts w:ascii="Arial Narrow" w:hAnsi="Arial Narrow" w:cs="Arial"/>
          <w:b/>
          <w:bCs/>
          <w:color w:val="5F5F5F"/>
          <w:sz w:val="20"/>
        </w:rPr>
      </w:pPr>
      <w:r>
        <w:rPr>
          <w:rFonts w:ascii="Arial" w:hAnsi="Arial" w:cs="Arial"/>
          <w:iCs/>
          <w:noProof/>
          <w:color w:val="000000"/>
          <w:sz w:val="20"/>
          <w:szCs w:val="20"/>
        </w:rPr>
        <w:br w:type="page"/>
      </w:r>
    </w:p>
    <w:p w:rsidR="00C65721" w:rsidRPr="0058002A" w:rsidRDefault="00C65721" w:rsidP="000467F2">
      <w:pPr>
        <w:rPr>
          <w:rFonts w:ascii="Arial" w:hAnsi="Arial" w:cs="Arial"/>
          <w:iCs/>
          <w:noProof/>
          <w:color w:val="000000"/>
          <w:sz w:val="20"/>
          <w:szCs w:val="20"/>
        </w:rPr>
        <w:sectPr w:rsidR="00C65721" w:rsidRPr="0058002A" w:rsidSect="00B7166F">
          <w:footerReference w:type="even" r:id="rId9"/>
          <w:footerReference w:type="default" r:id="rId10"/>
          <w:headerReference w:type="first" r:id="rId11"/>
          <w:footerReference w:type="first" r:id="rId12"/>
          <w:type w:val="continuous"/>
          <w:pgSz w:w="11906" w:h="16838"/>
          <w:pgMar w:top="567" w:right="851" w:bottom="680" w:left="851" w:header="0" w:footer="0" w:gutter="0"/>
          <w:pgNumType w:start="1"/>
          <w:cols w:space="708"/>
          <w:titlePg/>
          <w:docGrid w:linePitch="360"/>
        </w:sectPr>
      </w:pPr>
    </w:p>
    <w:p w:rsidR="00934608" w:rsidRDefault="00934608" w:rsidP="00A2532B">
      <w:pPr>
        <w:spacing w:after="120"/>
        <w:jc w:val="both"/>
        <w:outlineLvl w:val="0"/>
        <w:rPr>
          <w:rFonts w:ascii="Arial" w:hAnsi="Arial" w:cs="Arial"/>
          <w:b/>
          <w:color w:val="1F497D" w:themeColor="text2"/>
          <w:sz w:val="26"/>
          <w:szCs w:val="26"/>
        </w:rPr>
      </w:pPr>
    </w:p>
    <w:p w:rsidR="00A2532B" w:rsidRPr="00EA1522" w:rsidRDefault="00AD23EB" w:rsidP="00A2532B">
      <w:pPr>
        <w:spacing w:after="120"/>
        <w:jc w:val="both"/>
        <w:outlineLvl w:val="0"/>
        <w:rPr>
          <w:rFonts w:ascii="Arial" w:hAnsi="Arial" w:cs="Arial"/>
          <w:b/>
          <w:color w:val="1F497D" w:themeColor="text2"/>
          <w:sz w:val="26"/>
          <w:szCs w:val="26"/>
        </w:rPr>
      </w:pPr>
      <w:r>
        <w:rPr>
          <w:rFonts w:ascii="Arial" w:hAnsi="Arial" w:cs="Arial"/>
          <w:b/>
          <w:color w:val="1F497D" w:themeColor="text2"/>
          <w:sz w:val="26"/>
          <w:szCs w:val="26"/>
        </w:rPr>
        <w:t>L’economia non osservata</w:t>
      </w:r>
      <w:r w:rsidR="007F3335">
        <w:rPr>
          <w:rFonts w:ascii="Arial" w:hAnsi="Arial" w:cs="Arial"/>
          <w:b/>
          <w:color w:val="1F497D" w:themeColor="text2"/>
          <w:sz w:val="26"/>
          <w:szCs w:val="26"/>
        </w:rPr>
        <w:t xml:space="preserve"> cresc</w:t>
      </w:r>
      <w:r>
        <w:rPr>
          <w:rFonts w:ascii="Arial" w:hAnsi="Arial" w:cs="Arial"/>
          <w:b/>
          <w:color w:val="1F497D" w:themeColor="text2"/>
          <w:sz w:val="26"/>
          <w:szCs w:val="26"/>
        </w:rPr>
        <w:t>e</w:t>
      </w:r>
      <w:r w:rsidR="007F3335">
        <w:rPr>
          <w:rFonts w:ascii="Arial" w:hAnsi="Arial" w:cs="Arial"/>
          <w:b/>
          <w:color w:val="1F497D" w:themeColor="text2"/>
          <w:sz w:val="26"/>
          <w:szCs w:val="26"/>
        </w:rPr>
        <w:t xml:space="preserve"> meno del Pil</w:t>
      </w:r>
    </w:p>
    <w:p w:rsidR="004037E8" w:rsidRDefault="007F3335" w:rsidP="0039492B">
      <w:pPr>
        <w:spacing w:after="120"/>
        <w:jc w:val="both"/>
        <w:rPr>
          <w:rFonts w:ascii="Arial" w:hAnsi="Arial" w:cs="Arial"/>
          <w:sz w:val="22"/>
          <w:szCs w:val="22"/>
        </w:rPr>
      </w:pPr>
      <w:r>
        <w:rPr>
          <w:rFonts w:ascii="Arial" w:hAnsi="Arial" w:cs="Arial"/>
          <w:sz w:val="22"/>
          <w:szCs w:val="22"/>
        </w:rPr>
        <w:t>I</w:t>
      </w:r>
      <w:r w:rsidR="004037E8" w:rsidRPr="004037E8">
        <w:rPr>
          <w:rFonts w:ascii="Arial" w:hAnsi="Arial" w:cs="Arial"/>
          <w:sz w:val="22"/>
          <w:szCs w:val="22"/>
        </w:rPr>
        <w:t xml:space="preserve">n questo Report </w:t>
      </w:r>
      <w:r>
        <w:rPr>
          <w:rFonts w:ascii="Arial" w:hAnsi="Arial" w:cs="Arial"/>
          <w:sz w:val="22"/>
          <w:szCs w:val="22"/>
        </w:rPr>
        <w:t>si presenta l</w:t>
      </w:r>
      <w:r w:rsidR="00B32D05">
        <w:rPr>
          <w:rFonts w:ascii="Arial" w:hAnsi="Arial" w:cs="Arial"/>
          <w:sz w:val="22"/>
          <w:szCs w:val="22"/>
        </w:rPr>
        <w:t>a</w:t>
      </w:r>
      <w:r w:rsidR="004037E8" w:rsidRPr="004037E8">
        <w:rPr>
          <w:rFonts w:ascii="Arial" w:hAnsi="Arial" w:cs="Arial"/>
          <w:sz w:val="22"/>
          <w:szCs w:val="22"/>
        </w:rPr>
        <w:t xml:space="preserve"> stima </w:t>
      </w:r>
      <w:r w:rsidR="00B32D05">
        <w:rPr>
          <w:rFonts w:ascii="Arial" w:hAnsi="Arial" w:cs="Arial"/>
          <w:sz w:val="22"/>
          <w:szCs w:val="22"/>
        </w:rPr>
        <w:t xml:space="preserve">delle componenti </w:t>
      </w:r>
      <w:r w:rsidR="004037E8" w:rsidRPr="004037E8">
        <w:rPr>
          <w:rFonts w:ascii="Arial" w:hAnsi="Arial" w:cs="Arial"/>
          <w:sz w:val="22"/>
          <w:szCs w:val="22"/>
        </w:rPr>
        <w:t xml:space="preserve">dell’economia non osservata </w:t>
      </w:r>
      <w:r w:rsidR="00B32D05">
        <w:rPr>
          <w:rFonts w:ascii="Arial" w:hAnsi="Arial" w:cs="Arial"/>
          <w:sz w:val="22"/>
          <w:szCs w:val="22"/>
        </w:rPr>
        <w:t xml:space="preserve">incluse nei Conti Nazionali. </w:t>
      </w:r>
      <w:r w:rsidR="008D1DCB">
        <w:rPr>
          <w:rFonts w:ascii="Arial" w:hAnsi="Arial" w:cs="Arial"/>
          <w:sz w:val="22"/>
          <w:szCs w:val="22"/>
        </w:rPr>
        <w:t xml:space="preserve">In occasione della recente </w:t>
      </w:r>
      <w:r w:rsidR="008D1DCB" w:rsidRPr="000D5A8E">
        <w:rPr>
          <w:rFonts w:ascii="Arial" w:hAnsi="Arial" w:cs="Arial"/>
          <w:sz w:val="22"/>
          <w:szCs w:val="22"/>
        </w:rPr>
        <w:t>revisione generale dei Conti Nazionali, concordata in sede europea a cinque anni dal passaggio al SEC 2010</w:t>
      </w:r>
      <w:r w:rsidR="00D77B51">
        <w:rPr>
          <w:rFonts w:ascii="Arial" w:hAnsi="Arial" w:cs="Arial"/>
          <w:sz w:val="22"/>
          <w:szCs w:val="22"/>
        </w:rPr>
        <w:t xml:space="preserve"> </w:t>
      </w:r>
      <w:r w:rsidR="008D1DCB" w:rsidRPr="000D5A8E">
        <w:rPr>
          <w:rFonts w:ascii="Arial" w:hAnsi="Arial" w:cs="Arial"/>
          <w:sz w:val="22"/>
          <w:szCs w:val="22"/>
        </w:rPr>
        <w:t>(vedi la Statistica Flash “Anni 1995-2018 CONTI ECONOMICI NAZIONALI Prodotto interno lordo e indebitamento netto delle Amministrazion</w:t>
      </w:r>
      <w:r w:rsidR="008D1DCB">
        <w:rPr>
          <w:rFonts w:ascii="Arial" w:hAnsi="Arial" w:cs="Arial"/>
          <w:sz w:val="22"/>
          <w:szCs w:val="22"/>
        </w:rPr>
        <w:t>i pubbliche”, 23 settembre 2019)</w:t>
      </w:r>
      <w:r w:rsidR="002031C8">
        <w:rPr>
          <w:rFonts w:ascii="Arial" w:hAnsi="Arial" w:cs="Arial"/>
          <w:sz w:val="22"/>
          <w:szCs w:val="22"/>
        </w:rPr>
        <w:t>,</w:t>
      </w:r>
      <w:r w:rsidR="008D1DCB">
        <w:rPr>
          <w:rFonts w:ascii="Arial" w:hAnsi="Arial" w:cs="Arial"/>
          <w:sz w:val="22"/>
          <w:szCs w:val="22"/>
        </w:rPr>
        <w:t xml:space="preserve"> l</w:t>
      </w:r>
      <w:r w:rsidR="00B32D05">
        <w:rPr>
          <w:rFonts w:ascii="Arial" w:hAnsi="Arial" w:cs="Arial"/>
          <w:sz w:val="22"/>
          <w:szCs w:val="22"/>
        </w:rPr>
        <w:t xml:space="preserve">a </w:t>
      </w:r>
      <w:r w:rsidR="002031C8">
        <w:rPr>
          <w:rFonts w:ascii="Arial" w:hAnsi="Arial" w:cs="Arial"/>
          <w:sz w:val="22"/>
          <w:szCs w:val="22"/>
        </w:rPr>
        <w:t xml:space="preserve">metodologia di stima del sommerso economico è stata rivista per tutta la </w:t>
      </w:r>
      <w:r w:rsidR="004037E8" w:rsidRPr="004037E8">
        <w:rPr>
          <w:rFonts w:ascii="Arial" w:hAnsi="Arial" w:cs="Arial"/>
          <w:sz w:val="22"/>
          <w:szCs w:val="22"/>
        </w:rPr>
        <w:t>serie storica 2011-2017</w:t>
      </w:r>
      <w:r w:rsidR="000119F3">
        <w:rPr>
          <w:rFonts w:ascii="Arial" w:hAnsi="Arial" w:cs="Arial"/>
          <w:sz w:val="22"/>
          <w:szCs w:val="22"/>
        </w:rPr>
        <w:t xml:space="preserve"> (si veda per i dettagli la nota metodologica)</w:t>
      </w:r>
      <w:r w:rsidR="002031C8">
        <w:rPr>
          <w:rFonts w:ascii="Arial" w:hAnsi="Arial" w:cs="Arial"/>
          <w:sz w:val="22"/>
          <w:szCs w:val="22"/>
        </w:rPr>
        <w:t>. I</w:t>
      </w:r>
      <w:r w:rsidR="008D1DCB" w:rsidRPr="002031C8">
        <w:rPr>
          <w:rFonts w:ascii="Arial" w:hAnsi="Arial" w:cs="Arial"/>
          <w:sz w:val="22"/>
          <w:szCs w:val="22"/>
        </w:rPr>
        <w:t xml:space="preserve">l nuovo impianto </w:t>
      </w:r>
      <w:r w:rsidR="00423989">
        <w:rPr>
          <w:rFonts w:ascii="Arial" w:hAnsi="Arial" w:cs="Arial"/>
          <w:sz w:val="22"/>
          <w:szCs w:val="22"/>
        </w:rPr>
        <w:t xml:space="preserve">metodologico risponde </w:t>
      </w:r>
      <w:r w:rsidR="000119F3">
        <w:rPr>
          <w:rFonts w:ascii="Arial" w:hAnsi="Arial" w:cs="Arial"/>
          <w:sz w:val="22"/>
          <w:szCs w:val="22"/>
        </w:rPr>
        <w:t>all’obiettivo</w:t>
      </w:r>
      <w:r w:rsidR="008D1DCB" w:rsidRPr="002031C8">
        <w:rPr>
          <w:rFonts w:ascii="Arial" w:hAnsi="Arial" w:cs="Arial"/>
          <w:sz w:val="22"/>
          <w:szCs w:val="22"/>
        </w:rPr>
        <w:t xml:space="preserve"> di introdurre alcuni avanzamenti metodologici ai modelli </w:t>
      </w:r>
      <w:r w:rsidR="00EB27AB">
        <w:rPr>
          <w:rFonts w:ascii="Arial" w:hAnsi="Arial" w:cs="Arial"/>
          <w:sz w:val="22"/>
          <w:szCs w:val="22"/>
        </w:rPr>
        <w:t xml:space="preserve">statistici </w:t>
      </w:r>
      <w:r w:rsidR="008D1DCB" w:rsidRPr="002031C8">
        <w:rPr>
          <w:rFonts w:ascii="Arial" w:hAnsi="Arial" w:cs="Arial"/>
          <w:sz w:val="22"/>
          <w:szCs w:val="22"/>
        </w:rPr>
        <w:t>sinora applicati e all</w:t>
      </w:r>
      <w:r w:rsidR="00EB27AB">
        <w:rPr>
          <w:rFonts w:ascii="Arial" w:hAnsi="Arial" w:cs="Arial"/>
          <w:sz w:val="22"/>
          <w:szCs w:val="22"/>
        </w:rPr>
        <w:t>’</w:t>
      </w:r>
      <w:r w:rsidR="008D1DCB" w:rsidRPr="002031C8">
        <w:rPr>
          <w:rFonts w:ascii="Arial" w:hAnsi="Arial" w:cs="Arial"/>
          <w:sz w:val="22"/>
          <w:szCs w:val="22"/>
        </w:rPr>
        <w:t>adegua</w:t>
      </w:r>
      <w:r w:rsidR="00EB27AB">
        <w:rPr>
          <w:rFonts w:ascii="Arial" w:hAnsi="Arial" w:cs="Arial"/>
          <w:sz w:val="22"/>
          <w:szCs w:val="22"/>
        </w:rPr>
        <w:t>mento</w:t>
      </w:r>
      <w:r w:rsidR="008D1DCB" w:rsidRPr="002031C8">
        <w:rPr>
          <w:rFonts w:ascii="Arial" w:hAnsi="Arial" w:cs="Arial"/>
          <w:sz w:val="22"/>
          <w:szCs w:val="22"/>
        </w:rPr>
        <w:t xml:space="preserve"> alle raccomandazioni della Commissione Europea sul trattamento delle frodi IVA</w:t>
      </w:r>
      <w:r w:rsidR="002031C8">
        <w:rPr>
          <w:rFonts w:ascii="Arial" w:hAnsi="Arial" w:cs="Arial"/>
          <w:sz w:val="22"/>
          <w:szCs w:val="22"/>
        </w:rPr>
        <w:t>.</w:t>
      </w:r>
    </w:p>
    <w:p w:rsidR="0039492B" w:rsidRPr="0039492B" w:rsidRDefault="0039492B" w:rsidP="0039492B">
      <w:pPr>
        <w:spacing w:after="120"/>
        <w:jc w:val="both"/>
        <w:rPr>
          <w:rFonts w:ascii="Arial" w:hAnsi="Arial" w:cs="Arial"/>
          <w:sz w:val="22"/>
          <w:szCs w:val="22"/>
        </w:rPr>
      </w:pPr>
      <w:r w:rsidRPr="0039492B">
        <w:rPr>
          <w:rFonts w:ascii="Arial" w:hAnsi="Arial" w:cs="Arial"/>
          <w:sz w:val="22"/>
          <w:szCs w:val="22"/>
        </w:rPr>
        <w:t>L’economia non osservata (Noe) è la parte di attività economica di mercato che, per motivi diversi, sfugge all’osservazione diretta della statistica ufficiale e pone problemi particolari nella misurazione statistica.</w:t>
      </w:r>
      <w:r w:rsidR="00267D69">
        <w:rPr>
          <w:rFonts w:ascii="Arial" w:hAnsi="Arial" w:cs="Arial"/>
          <w:sz w:val="22"/>
          <w:szCs w:val="22"/>
        </w:rPr>
        <w:t xml:space="preserve"> Essa </w:t>
      </w:r>
      <w:r w:rsidRPr="0039492B">
        <w:rPr>
          <w:rFonts w:ascii="Arial" w:hAnsi="Arial" w:cs="Arial"/>
          <w:sz w:val="22"/>
          <w:szCs w:val="22"/>
        </w:rPr>
        <w:t xml:space="preserve">comprende, essenzialmente, </w:t>
      </w:r>
      <w:r w:rsidRPr="003474C0">
        <w:rPr>
          <w:rFonts w:ascii="Arial" w:hAnsi="Arial" w:cs="Arial"/>
          <w:color w:val="002060"/>
          <w:sz w:val="22"/>
          <w:szCs w:val="22"/>
        </w:rPr>
        <w:t>l’</w:t>
      </w:r>
      <w:r w:rsidRPr="003474C0">
        <w:rPr>
          <w:rFonts w:ascii="Arial" w:hAnsi="Arial" w:cs="Arial"/>
          <w:b/>
          <w:color w:val="002060"/>
          <w:sz w:val="22"/>
          <w:szCs w:val="22"/>
        </w:rPr>
        <w:t xml:space="preserve">economia sommersa </w:t>
      </w:r>
      <w:r>
        <w:rPr>
          <w:rFonts w:ascii="Arial" w:hAnsi="Arial" w:cs="Arial"/>
          <w:sz w:val="22"/>
          <w:szCs w:val="22"/>
        </w:rPr>
        <w:t xml:space="preserve">e quella </w:t>
      </w:r>
      <w:r w:rsidRPr="003474C0">
        <w:rPr>
          <w:rFonts w:ascii="Arial" w:hAnsi="Arial" w:cs="Arial"/>
          <w:b/>
          <w:color w:val="002060"/>
          <w:sz w:val="22"/>
          <w:szCs w:val="22"/>
        </w:rPr>
        <w:t>illegale</w:t>
      </w:r>
      <w:r w:rsidRPr="0039492B">
        <w:rPr>
          <w:rFonts w:ascii="Arial" w:hAnsi="Arial" w:cs="Arial"/>
          <w:sz w:val="22"/>
          <w:szCs w:val="22"/>
        </w:rPr>
        <w:t xml:space="preserve">. </w:t>
      </w:r>
      <w:r w:rsidR="00267D69">
        <w:rPr>
          <w:rFonts w:ascii="Arial" w:hAnsi="Arial" w:cs="Arial"/>
          <w:sz w:val="22"/>
          <w:szCs w:val="22"/>
        </w:rPr>
        <w:t>Le principali componenti dell’</w:t>
      </w:r>
      <w:r w:rsidRPr="0039492B">
        <w:rPr>
          <w:rFonts w:ascii="Arial" w:hAnsi="Arial" w:cs="Arial"/>
          <w:sz w:val="22"/>
          <w:szCs w:val="22"/>
        </w:rPr>
        <w:t xml:space="preserve">economia sommersa </w:t>
      </w:r>
      <w:r w:rsidR="00267D69">
        <w:rPr>
          <w:rFonts w:ascii="Arial" w:hAnsi="Arial" w:cs="Arial"/>
          <w:sz w:val="22"/>
          <w:szCs w:val="22"/>
        </w:rPr>
        <w:t xml:space="preserve">sono </w:t>
      </w:r>
      <w:r w:rsidRPr="0039492B">
        <w:rPr>
          <w:rFonts w:ascii="Arial" w:hAnsi="Arial" w:cs="Arial"/>
          <w:sz w:val="22"/>
          <w:szCs w:val="22"/>
        </w:rPr>
        <w:t>costituit</w:t>
      </w:r>
      <w:r w:rsidR="00267D69">
        <w:rPr>
          <w:rFonts w:ascii="Arial" w:hAnsi="Arial" w:cs="Arial"/>
          <w:sz w:val="22"/>
          <w:szCs w:val="22"/>
        </w:rPr>
        <w:t xml:space="preserve">e dal valore aggiunto </w:t>
      </w:r>
      <w:r w:rsidRPr="0039492B">
        <w:rPr>
          <w:rFonts w:ascii="Arial" w:hAnsi="Arial" w:cs="Arial"/>
          <w:sz w:val="22"/>
          <w:szCs w:val="22"/>
        </w:rPr>
        <w:t>occultato tramite comunicazioni volutamente errate del fatturato e/o dei costi (sotto</w:t>
      </w:r>
      <w:r w:rsidR="00280FE9">
        <w:rPr>
          <w:rFonts w:ascii="Arial" w:hAnsi="Arial" w:cs="Arial"/>
          <w:sz w:val="22"/>
          <w:szCs w:val="22"/>
        </w:rPr>
        <w:t>-</w:t>
      </w:r>
      <w:r w:rsidRPr="0039492B">
        <w:rPr>
          <w:rFonts w:ascii="Arial" w:hAnsi="Arial" w:cs="Arial"/>
          <w:sz w:val="22"/>
          <w:szCs w:val="22"/>
        </w:rPr>
        <w:t>dichiarazi</w:t>
      </w:r>
      <w:r w:rsidR="00267D69">
        <w:rPr>
          <w:rFonts w:ascii="Arial" w:hAnsi="Arial" w:cs="Arial"/>
          <w:sz w:val="22"/>
          <w:szCs w:val="22"/>
        </w:rPr>
        <w:t xml:space="preserve">one del valore aggiunto), o </w:t>
      </w:r>
      <w:r w:rsidRPr="0039492B">
        <w:rPr>
          <w:rFonts w:ascii="Arial" w:hAnsi="Arial" w:cs="Arial"/>
          <w:sz w:val="22"/>
          <w:szCs w:val="22"/>
        </w:rPr>
        <w:t xml:space="preserve">generato </w:t>
      </w:r>
      <w:r w:rsidR="00267D69">
        <w:rPr>
          <w:rFonts w:ascii="Arial" w:hAnsi="Arial" w:cs="Arial"/>
          <w:sz w:val="22"/>
          <w:szCs w:val="22"/>
        </w:rPr>
        <w:t xml:space="preserve">mediante </w:t>
      </w:r>
      <w:r w:rsidRPr="0039492B">
        <w:rPr>
          <w:rFonts w:ascii="Arial" w:hAnsi="Arial" w:cs="Arial"/>
          <w:sz w:val="22"/>
          <w:szCs w:val="22"/>
        </w:rPr>
        <w:t xml:space="preserve">l’utilizzo di input di lavoro irregolare. </w:t>
      </w:r>
      <w:r w:rsidR="00267D69">
        <w:rPr>
          <w:rFonts w:ascii="Arial" w:hAnsi="Arial" w:cs="Arial"/>
          <w:sz w:val="22"/>
          <w:szCs w:val="22"/>
        </w:rPr>
        <w:t xml:space="preserve">Ad esso si aggiunge il valore dei </w:t>
      </w:r>
      <w:r w:rsidRPr="0039492B">
        <w:rPr>
          <w:rFonts w:ascii="Arial" w:hAnsi="Arial" w:cs="Arial"/>
          <w:sz w:val="22"/>
          <w:szCs w:val="22"/>
        </w:rPr>
        <w:t xml:space="preserve">fitti in nero, </w:t>
      </w:r>
      <w:r w:rsidR="00267D69">
        <w:rPr>
          <w:rFonts w:ascii="Arial" w:hAnsi="Arial" w:cs="Arial"/>
          <w:sz w:val="22"/>
          <w:szCs w:val="22"/>
        </w:rPr>
        <w:t>del</w:t>
      </w:r>
      <w:r w:rsidRPr="0039492B">
        <w:rPr>
          <w:rFonts w:ascii="Arial" w:hAnsi="Arial" w:cs="Arial"/>
          <w:sz w:val="22"/>
          <w:szCs w:val="22"/>
        </w:rPr>
        <w:t xml:space="preserve">le mance e </w:t>
      </w:r>
      <w:r w:rsidR="00267D69">
        <w:rPr>
          <w:rFonts w:ascii="Arial" w:hAnsi="Arial" w:cs="Arial"/>
          <w:sz w:val="22"/>
          <w:szCs w:val="22"/>
        </w:rPr>
        <w:t xml:space="preserve">una quota </w:t>
      </w:r>
      <w:r w:rsidRPr="0039492B">
        <w:rPr>
          <w:rFonts w:ascii="Arial" w:hAnsi="Arial" w:cs="Arial"/>
          <w:sz w:val="22"/>
          <w:szCs w:val="22"/>
        </w:rPr>
        <w:t>che emerge dalla riconciliazione fra le stime degli aggregati dell’offerta e della domanda. Quest’ultimo tipo di integrazione contiene in sé, in proporzione non identificabile, sia effetti collegabili a fenomeni di carattere puramente statistico, sia fenomeni ascrivibili all’esistenza dell’economia sommersa non completamente colti attraverso la stima da sotto</w:t>
      </w:r>
      <w:r w:rsidR="00280FE9">
        <w:rPr>
          <w:rFonts w:ascii="Arial" w:hAnsi="Arial" w:cs="Arial"/>
          <w:sz w:val="22"/>
          <w:szCs w:val="22"/>
        </w:rPr>
        <w:t>-</w:t>
      </w:r>
      <w:r w:rsidRPr="0039492B">
        <w:rPr>
          <w:rFonts w:ascii="Arial" w:hAnsi="Arial" w:cs="Arial"/>
          <w:sz w:val="22"/>
          <w:szCs w:val="22"/>
        </w:rPr>
        <w:t xml:space="preserve">dichiarazione e da lavoro irregolare. </w:t>
      </w:r>
    </w:p>
    <w:p w:rsidR="00833A10" w:rsidRDefault="0039492B" w:rsidP="006E5FEB">
      <w:pPr>
        <w:spacing w:after="120"/>
        <w:jc w:val="both"/>
        <w:rPr>
          <w:rFonts w:ascii="Arial" w:hAnsi="Arial" w:cs="Arial"/>
          <w:sz w:val="20"/>
          <w:szCs w:val="20"/>
        </w:rPr>
      </w:pPr>
      <w:r w:rsidRPr="0039492B">
        <w:rPr>
          <w:rFonts w:ascii="Arial" w:hAnsi="Arial" w:cs="Arial"/>
          <w:sz w:val="22"/>
          <w:szCs w:val="22"/>
        </w:rPr>
        <w:t>Le attività illegali sono sia le attività di produzione di beni e servizi la cui vendita, distribuzione o possesso sono proibite dalla legge, sia quelle che, pur essendo legali, sono svolte da operatori non autorizzati.</w:t>
      </w:r>
      <w:r w:rsidR="00267D69">
        <w:rPr>
          <w:rFonts w:ascii="Arial" w:hAnsi="Arial" w:cs="Arial"/>
          <w:sz w:val="22"/>
          <w:szCs w:val="22"/>
        </w:rPr>
        <w:t xml:space="preserve"> Le tipologie di economia </w:t>
      </w:r>
      <w:r w:rsidRPr="0039492B">
        <w:rPr>
          <w:rFonts w:ascii="Arial" w:hAnsi="Arial" w:cs="Arial"/>
          <w:sz w:val="22"/>
          <w:szCs w:val="22"/>
        </w:rPr>
        <w:t>illegale</w:t>
      </w:r>
      <w:r w:rsidR="00267D69">
        <w:rPr>
          <w:rFonts w:ascii="Arial" w:hAnsi="Arial" w:cs="Arial"/>
          <w:sz w:val="22"/>
          <w:szCs w:val="22"/>
        </w:rPr>
        <w:t>,</w:t>
      </w:r>
      <w:r w:rsidR="006A1E66">
        <w:rPr>
          <w:rFonts w:ascii="Arial" w:hAnsi="Arial" w:cs="Arial"/>
          <w:sz w:val="22"/>
          <w:szCs w:val="22"/>
        </w:rPr>
        <w:t xml:space="preserve"> </w:t>
      </w:r>
      <w:r w:rsidR="00267D69">
        <w:rPr>
          <w:rFonts w:ascii="Arial" w:hAnsi="Arial" w:cs="Arial"/>
          <w:sz w:val="22"/>
          <w:szCs w:val="22"/>
        </w:rPr>
        <w:t xml:space="preserve">incluse nel Pil dei Paesi </w:t>
      </w:r>
      <w:r w:rsidR="00431A2A">
        <w:rPr>
          <w:rFonts w:ascii="Arial" w:hAnsi="Arial" w:cs="Arial"/>
          <w:sz w:val="22"/>
          <w:szCs w:val="22"/>
        </w:rPr>
        <w:t>Ue</w:t>
      </w:r>
      <w:r w:rsidR="00267D69">
        <w:rPr>
          <w:rFonts w:ascii="Arial" w:hAnsi="Arial" w:cs="Arial"/>
          <w:sz w:val="22"/>
          <w:szCs w:val="22"/>
        </w:rPr>
        <w:t xml:space="preserve">, sono </w:t>
      </w:r>
      <w:r w:rsidRPr="0039492B">
        <w:rPr>
          <w:rFonts w:ascii="Arial" w:hAnsi="Arial" w:cs="Arial"/>
          <w:sz w:val="22"/>
          <w:szCs w:val="22"/>
        </w:rPr>
        <w:t xml:space="preserve">la produzione e il commercio di </w:t>
      </w:r>
      <w:r w:rsidR="00280FE9">
        <w:rPr>
          <w:rFonts w:ascii="Arial" w:hAnsi="Arial" w:cs="Arial"/>
          <w:sz w:val="22"/>
          <w:szCs w:val="22"/>
        </w:rPr>
        <w:t>stupefacenti</w:t>
      </w:r>
      <w:r w:rsidRPr="0039492B">
        <w:rPr>
          <w:rFonts w:ascii="Arial" w:hAnsi="Arial" w:cs="Arial"/>
          <w:sz w:val="22"/>
          <w:szCs w:val="22"/>
        </w:rPr>
        <w:t>, le attività di prostituzione e il contrabbando di sigarette</w:t>
      </w:r>
      <w:r w:rsidR="00D41F6A">
        <w:rPr>
          <w:rFonts w:ascii="Arial" w:hAnsi="Arial" w:cs="Arial"/>
          <w:sz w:val="22"/>
          <w:szCs w:val="22"/>
        </w:rPr>
        <w:t>.</w:t>
      </w:r>
    </w:p>
    <w:p w:rsidR="005A4ED9" w:rsidRPr="005D2187" w:rsidRDefault="00483301" w:rsidP="00225B32">
      <w:pPr>
        <w:tabs>
          <w:tab w:val="left" w:pos="1549"/>
        </w:tabs>
        <w:jc w:val="both"/>
        <w:rPr>
          <w:rFonts w:ascii="Arial" w:hAnsi="Arial" w:cs="Arial"/>
          <w:sz w:val="22"/>
          <w:szCs w:val="22"/>
        </w:rPr>
      </w:pPr>
      <w:r w:rsidRPr="00483301">
        <w:rPr>
          <w:rFonts w:ascii="Arial" w:hAnsi="Arial" w:cs="Arial"/>
          <w:sz w:val="22"/>
          <w:szCs w:val="22"/>
        </w:rPr>
        <w:t>Nel 201</w:t>
      </w:r>
      <w:r>
        <w:rPr>
          <w:rFonts w:ascii="Arial" w:hAnsi="Arial" w:cs="Arial"/>
          <w:sz w:val="22"/>
          <w:szCs w:val="22"/>
        </w:rPr>
        <w:t>7</w:t>
      </w:r>
      <w:r w:rsidRPr="00483301">
        <w:rPr>
          <w:rFonts w:ascii="Arial" w:hAnsi="Arial" w:cs="Arial"/>
          <w:sz w:val="22"/>
          <w:szCs w:val="22"/>
        </w:rPr>
        <w:t xml:space="preserve"> il valore aggiunto generato dall’economia non osservata, ovvero dalla somma di economia sommersa e attività illegali, si è attestato a poco meno di 21</w:t>
      </w:r>
      <w:r>
        <w:rPr>
          <w:rFonts w:ascii="Arial" w:hAnsi="Arial" w:cs="Arial"/>
          <w:sz w:val="22"/>
          <w:szCs w:val="22"/>
        </w:rPr>
        <w:t>1</w:t>
      </w:r>
      <w:r w:rsidRPr="00483301">
        <w:rPr>
          <w:rFonts w:ascii="Arial" w:hAnsi="Arial" w:cs="Arial"/>
          <w:sz w:val="22"/>
          <w:szCs w:val="22"/>
        </w:rPr>
        <w:t xml:space="preserve"> miliardi di euro (erano 20</w:t>
      </w:r>
      <w:r>
        <w:rPr>
          <w:rFonts w:ascii="Arial" w:hAnsi="Arial" w:cs="Arial"/>
          <w:sz w:val="22"/>
          <w:szCs w:val="22"/>
        </w:rPr>
        <w:t>7,7</w:t>
      </w:r>
      <w:r w:rsidRPr="00483301">
        <w:rPr>
          <w:rFonts w:ascii="Arial" w:hAnsi="Arial" w:cs="Arial"/>
          <w:sz w:val="22"/>
          <w:szCs w:val="22"/>
        </w:rPr>
        <w:t xml:space="preserve"> nel 201</w:t>
      </w:r>
      <w:r>
        <w:rPr>
          <w:rFonts w:ascii="Arial" w:hAnsi="Arial" w:cs="Arial"/>
          <w:sz w:val="22"/>
          <w:szCs w:val="22"/>
        </w:rPr>
        <w:t>6</w:t>
      </w:r>
      <w:r w:rsidRPr="00483301">
        <w:rPr>
          <w:rFonts w:ascii="Arial" w:hAnsi="Arial" w:cs="Arial"/>
          <w:sz w:val="22"/>
          <w:szCs w:val="22"/>
        </w:rPr>
        <w:t>), con un</w:t>
      </w:r>
      <w:r w:rsidR="00267D69">
        <w:rPr>
          <w:rFonts w:ascii="Arial" w:hAnsi="Arial" w:cs="Arial"/>
          <w:sz w:val="22"/>
          <w:szCs w:val="22"/>
        </w:rPr>
        <w:t xml:space="preserve"> aumento dell’1,5% rispetto all’anno precedente, </w:t>
      </w:r>
      <w:r w:rsidR="000119F3">
        <w:rPr>
          <w:rFonts w:ascii="Arial" w:hAnsi="Arial" w:cs="Arial"/>
          <w:sz w:val="22"/>
          <w:szCs w:val="22"/>
        </w:rPr>
        <w:t xml:space="preserve">segnando </w:t>
      </w:r>
      <w:r w:rsidR="00267D69">
        <w:rPr>
          <w:rFonts w:ascii="Arial" w:hAnsi="Arial" w:cs="Arial"/>
          <w:sz w:val="22"/>
          <w:szCs w:val="22"/>
        </w:rPr>
        <w:t xml:space="preserve">una dinamica più lenta rispetto al complesso </w:t>
      </w:r>
      <w:r w:rsidR="00724AE6">
        <w:rPr>
          <w:rFonts w:ascii="Arial" w:hAnsi="Arial" w:cs="Arial"/>
          <w:sz w:val="22"/>
          <w:szCs w:val="22"/>
        </w:rPr>
        <w:t>del</w:t>
      </w:r>
      <w:r w:rsidR="00280FE9">
        <w:rPr>
          <w:rFonts w:ascii="Arial" w:hAnsi="Arial" w:cs="Arial"/>
          <w:sz w:val="22"/>
          <w:szCs w:val="22"/>
        </w:rPr>
        <w:t xml:space="preserve"> valore aggiunto</w:t>
      </w:r>
      <w:r w:rsidR="00724AE6">
        <w:rPr>
          <w:rFonts w:ascii="Arial" w:hAnsi="Arial" w:cs="Arial"/>
          <w:sz w:val="22"/>
          <w:szCs w:val="22"/>
        </w:rPr>
        <w:t xml:space="preserve">, </w:t>
      </w:r>
      <w:r w:rsidR="00280FE9">
        <w:rPr>
          <w:rFonts w:ascii="Arial" w:hAnsi="Arial" w:cs="Arial"/>
          <w:sz w:val="22"/>
          <w:szCs w:val="22"/>
        </w:rPr>
        <w:t xml:space="preserve">cresciuto del </w:t>
      </w:r>
      <w:r w:rsidR="00267D69" w:rsidRPr="00483301">
        <w:rPr>
          <w:rFonts w:ascii="Arial" w:hAnsi="Arial" w:cs="Arial"/>
          <w:sz w:val="22"/>
          <w:szCs w:val="22"/>
        </w:rPr>
        <w:t>2,</w:t>
      </w:r>
      <w:r w:rsidR="00724AE6">
        <w:rPr>
          <w:rFonts w:ascii="Arial" w:hAnsi="Arial" w:cs="Arial"/>
          <w:sz w:val="22"/>
          <w:szCs w:val="22"/>
        </w:rPr>
        <w:t>3</w:t>
      </w:r>
      <w:r w:rsidR="00267D69" w:rsidRPr="00483301">
        <w:rPr>
          <w:rFonts w:ascii="Arial" w:hAnsi="Arial" w:cs="Arial"/>
          <w:sz w:val="22"/>
          <w:szCs w:val="22"/>
        </w:rPr>
        <w:t>%.</w:t>
      </w:r>
      <w:r w:rsidR="00423989">
        <w:rPr>
          <w:rFonts w:ascii="Arial" w:hAnsi="Arial" w:cs="Arial"/>
          <w:sz w:val="22"/>
          <w:szCs w:val="22"/>
        </w:rPr>
        <w:t xml:space="preserve"> </w:t>
      </w:r>
      <w:r w:rsidR="00280FE9">
        <w:rPr>
          <w:rFonts w:ascii="Arial" w:hAnsi="Arial" w:cs="Arial"/>
          <w:sz w:val="22"/>
          <w:szCs w:val="22"/>
        </w:rPr>
        <w:t>L</w:t>
      </w:r>
      <w:r w:rsidR="00267D69">
        <w:rPr>
          <w:rFonts w:ascii="Arial" w:hAnsi="Arial" w:cs="Arial"/>
          <w:sz w:val="22"/>
          <w:szCs w:val="22"/>
        </w:rPr>
        <w:t>’incidenza dell’economia non osservata sul Pil si è</w:t>
      </w:r>
      <w:r w:rsidR="00280FE9">
        <w:rPr>
          <w:rFonts w:ascii="Arial" w:hAnsi="Arial" w:cs="Arial"/>
          <w:sz w:val="22"/>
          <w:szCs w:val="22"/>
        </w:rPr>
        <w:t xml:space="preserve"> perciò lievemente</w:t>
      </w:r>
      <w:r w:rsidR="00267D69">
        <w:rPr>
          <w:rFonts w:ascii="Arial" w:hAnsi="Arial" w:cs="Arial"/>
          <w:sz w:val="22"/>
          <w:szCs w:val="22"/>
        </w:rPr>
        <w:t xml:space="preserve"> ridotta </w:t>
      </w:r>
      <w:r w:rsidR="0080340C">
        <w:rPr>
          <w:rFonts w:ascii="Arial" w:hAnsi="Arial" w:cs="Arial"/>
          <w:sz w:val="22"/>
          <w:szCs w:val="22"/>
        </w:rPr>
        <w:t xml:space="preserve">portandosi </w:t>
      </w:r>
      <w:r w:rsidRPr="00483301">
        <w:rPr>
          <w:rFonts w:ascii="Arial" w:hAnsi="Arial" w:cs="Arial"/>
          <w:sz w:val="22"/>
          <w:szCs w:val="22"/>
        </w:rPr>
        <w:t>al 12,</w:t>
      </w:r>
      <w:r>
        <w:rPr>
          <w:rFonts w:ascii="Arial" w:hAnsi="Arial" w:cs="Arial"/>
          <w:sz w:val="22"/>
          <w:szCs w:val="22"/>
        </w:rPr>
        <w:t>1</w:t>
      </w:r>
      <w:r w:rsidRPr="00483301">
        <w:rPr>
          <w:rFonts w:ascii="Arial" w:hAnsi="Arial" w:cs="Arial"/>
          <w:sz w:val="22"/>
          <w:szCs w:val="22"/>
        </w:rPr>
        <w:t xml:space="preserve">% </w:t>
      </w:r>
      <w:r w:rsidR="00267D69">
        <w:rPr>
          <w:rFonts w:ascii="Arial" w:hAnsi="Arial" w:cs="Arial"/>
          <w:sz w:val="22"/>
          <w:szCs w:val="22"/>
        </w:rPr>
        <w:t xml:space="preserve">dal </w:t>
      </w:r>
      <w:r w:rsidRPr="00483301">
        <w:rPr>
          <w:rFonts w:ascii="Arial" w:hAnsi="Arial" w:cs="Arial"/>
          <w:sz w:val="22"/>
          <w:szCs w:val="22"/>
        </w:rPr>
        <w:t>12,</w:t>
      </w:r>
      <w:r>
        <w:rPr>
          <w:rFonts w:ascii="Arial" w:hAnsi="Arial" w:cs="Arial"/>
          <w:sz w:val="22"/>
          <w:szCs w:val="22"/>
        </w:rPr>
        <w:t>2</w:t>
      </w:r>
      <w:r w:rsidRPr="00483301">
        <w:rPr>
          <w:rFonts w:ascii="Arial" w:hAnsi="Arial" w:cs="Arial"/>
          <w:sz w:val="22"/>
          <w:szCs w:val="22"/>
        </w:rPr>
        <w:t>% nel 201</w:t>
      </w:r>
      <w:r>
        <w:rPr>
          <w:rFonts w:ascii="Arial" w:hAnsi="Arial" w:cs="Arial"/>
          <w:sz w:val="22"/>
          <w:szCs w:val="22"/>
        </w:rPr>
        <w:t>6</w:t>
      </w:r>
      <w:r w:rsidR="00724AE6">
        <w:rPr>
          <w:rFonts w:ascii="Arial" w:hAnsi="Arial" w:cs="Arial"/>
          <w:sz w:val="22"/>
          <w:szCs w:val="22"/>
        </w:rPr>
        <w:t xml:space="preserve">, </w:t>
      </w:r>
      <w:r w:rsidR="0080340C">
        <w:rPr>
          <w:rFonts w:ascii="Arial" w:hAnsi="Arial" w:cs="Arial"/>
          <w:sz w:val="22"/>
          <w:szCs w:val="22"/>
        </w:rPr>
        <w:t xml:space="preserve">e </w:t>
      </w:r>
      <w:r w:rsidR="00724AE6">
        <w:rPr>
          <w:rFonts w:ascii="Arial" w:hAnsi="Arial" w:cs="Arial"/>
          <w:sz w:val="22"/>
          <w:szCs w:val="22"/>
        </w:rPr>
        <w:t>confermando la tendenza in atto dal 2014</w:t>
      </w:r>
      <w:r w:rsidR="007A3790">
        <w:rPr>
          <w:rFonts w:ascii="Arial" w:hAnsi="Arial" w:cs="Arial"/>
          <w:sz w:val="22"/>
          <w:szCs w:val="22"/>
        </w:rPr>
        <w:t>, anno in cui si era raggiunto un picco del 13%.</w:t>
      </w:r>
      <w:r w:rsidR="00423989">
        <w:rPr>
          <w:rFonts w:ascii="Arial" w:hAnsi="Arial" w:cs="Arial"/>
          <w:sz w:val="22"/>
          <w:szCs w:val="22"/>
        </w:rPr>
        <w:t xml:space="preserve"> </w:t>
      </w:r>
      <w:r w:rsidR="005D2187" w:rsidRPr="005D2187">
        <w:rPr>
          <w:rFonts w:ascii="Arial" w:hAnsi="Arial" w:cs="Arial"/>
          <w:sz w:val="22"/>
          <w:szCs w:val="22"/>
        </w:rPr>
        <w:t>La diminuzione rispetto al 201</w:t>
      </w:r>
      <w:r w:rsidR="003A7331">
        <w:rPr>
          <w:rFonts w:ascii="Arial" w:hAnsi="Arial" w:cs="Arial"/>
          <w:sz w:val="22"/>
          <w:szCs w:val="22"/>
        </w:rPr>
        <w:t>6</w:t>
      </w:r>
      <w:r w:rsidR="005D2187" w:rsidRPr="005D2187">
        <w:rPr>
          <w:rFonts w:ascii="Arial" w:hAnsi="Arial" w:cs="Arial"/>
          <w:sz w:val="22"/>
          <w:szCs w:val="22"/>
        </w:rPr>
        <w:t xml:space="preserve"> è interamente dovuta alla riduzione del peso della componente riferibile al sommerso economico (dal 1</w:t>
      </w:r>
      <w:r w:rsidR="003A7331">
        <w:rPr>
          <w:rFonts w:ascii="Arial" w:hAnsi="Arial" w:cs="Arial"/>
          <w:sz w:val="22"/>
          <w:szCs w:val="22"/>
        </w:rPr>
        <w:t>1</w:t>
      </w:r>
      <w:r w:rsidR="005D2187" w:rsidRPr="005D2187">
        <w:rPr>
          <w:rFonts w:ascii="Arial" w:hAnsi="Arial" w:cs="Arial"/>
          <w:sz w:val="22"/>
          <w:szCs w:val="22"/>
        </w:rPr>
        <w:t>,</w:t>
      </w:r>
      <w:r w:rsidR="003A7331">
        <w:rPr>
          <w:rFonts w:ascii="Arial" w:hAnsi="Arial" w:cs="Arial"/>
          <w:sz w:val="22"/>
          <w:szCs w:val="22"/>
        </w:rPr>
        <w:t>2</w:t>
      </w:r>
      <w:r w:rsidR="005D2187" w:rsidRPr="005D2187">
        <w:rPr>
          <w:rFonts w:ascii="Arial" w:hAnsi="Arial" w:cs="Arial"/>
          <w:sz w:val="22"/>
          <w:szCs w:val="22"/>
        </w:rPr>
        <w:t>% al 1</w:t>
      </w:r>
      <w:r w:rsidR="003A7331">
        <w:rPr>
          <w:rFonts w:ascii="Arial" w:hAnsi="Arial" w:cs="Arial"/>
          <w:sz w:val="22"/>
          <w:szCs w:val="22"/>
        </w:rPr>
        <w:t>1</w:t>
      </w:r>
      <w:r w:rsidR="005D2187" w:rsidRPr="005D2187">
        <w:rPr>
          <w:rFonts w:ascii="Arial" w:hAnsi="Arial" w:cs="Arial"/>
          <w:sz w:val="22"/>
          <w:szCs w:val="22"/>
        </w:rPr>
        <w:t>,</w:t>
      </w:r>
      <w:r w:rsidR="003A7331">
        <w:rPr>
          <w:rFonts w:ascii="Arial" w:hAnsi="Arial" w:cs="Arial"/>
          <w:sz w:val="22"/>
          <w:szCs w:val="22"/>
        </w:rPr>
        <w:t>1</w:t>
      </w:r>
      <w:r w:rsidR="005D2187" w:rsidRPr="005D2187">
        <w:rPr>
          <w:rFonts w:ascii="Arial" w:hAnsi="Arial" w:cs="Arial"/>
          <w:sz w:val="22"/>
          <w:szCs w:val="22"/>
        </w:rPr>
        <w:t>%)</w:t>
      </w:r>
      <w:r w:rsidR="00724AE6">
        <w:rPr>
          <w:rFonts w:ascii="Arial" w:hAnsi="Arial" w:cs="Arial"/>
          <w:sz w:val="22"/>
          <w:szCs w:val="22"/>
        </w:rPr>
        <w:t xml:space="preserve">, mentre </w:t>
      </w:r>
      <w:r w:rsidR="005D2187" w:rsidRPr="005D2187">
        <w:rPr>
          <w:rFonts w:ascii="Arial" w:hAnsi="Arial" w:cs="Arial"/>
          <w:sz w:val="22"/>
          <w:szCs w:val="22"/>
        </w:rPr>
        <w:t>l’incidenza dell’economia illegale</w:t>
      </w:r>
      <w:r w:rsidR="00E0383B">
        <w:rPr>
          <w:rFonts w:ascii="Arial" w:hAnsi="Arial" w:cs="Arial"/>
          <w:sz w:val="22"/>
          <w:szCs w:val="22"/>
        </w:rPr>
        <w:t xml:space="preserve"> resta stabile</w:t>
      </w:r>
      <w:r w:rsidR="005D2187" w:rsidRPr="005D2187">
        <w:rPr>
          <w:rFonts w:ascii="Arial" w:hAnsi="Arial" w:cs="Arial"/>
          <w:sz w:val="22"/>
          <w:szCs w:val="22"/>
        </w:rPr>
        <w:t xml:space="preserve"> (1,</w:t>
      </w:r>
      <w:r w:rsidR="003A7331">
        <w:rPr>
          <w:rFonts w:ascii="Arial" w:hAnsi="Arial" w:cs="Arial"/>
          <w:sz w:val="22"/>
          <w:szCs w:val="22"/>
        </w:rPr>
        <w:t>1</w:t>
      </w:r>
      <w:r w:rsidR="005D2187" w:rsidRPr="005D2187">
        <w:rPr>
          <w:rFonts w:ascii="Arial" w:hAnsi="Arial" w:cs="Arial"/>
          <w:sz w:val="22"/>
          <w:szCs w:val="22"/>
        </w:rPr>
        <w:t>%).</w:t>
      </w:r>
    </w:p>
    <w:p w:rsidR="0009474B" w:rsidRDefault="0009474B" w:rsidP="00225B32">
      <w:pPr>
        <w:tabs>
          <w:tab w:val="left" w:pos="1549"/>
        </w:tabs>
        <w:jc w:val="both"/>
        <w:rPr>
          <w:rFonts w:ascii="Arial" w:hAnsi="Arial" w:cs="Arial"/>
          <w:sz w:val="20"/>
          <w:szCs w:val="20"/>
        </w:rPr>
      </w:pPr>
    </w:p>
    <w:p w:rsidR="00F95137" w:rsidRDefault="00F95137" w:rsidP="00225B32">
      <w:pPr>
        <w:tabs>
          <w:tab w:val="left" w:pos="1549"/>
        </w:tabs>
        <w:jc w:val="both"/>
        <w:rPr>
          <w:rFonts w:ascii="Arial" w:hAnsi="Arial" w:cs="Arial"/>
          <w:sz w:val="20"/>
          <w:szCs w:val="20"/>
        </w:rPr>
      </w:pPr>
    </w:p>
    <w:p w:rsidR="00F95137" w:rsidRDefault="00F95137" w:rsidP="00225B32">
      <w:pPr>
        <w:tabs>
          <w:tab w:val="left" w:pos="1549"/>
        </w:tabs>
        <w:jc w:val="both"/>
        <w:rPr>
          <w:rFonts w:ascii="Arial" w:hAnsi="Arial" w:cs="Arial"/>
          <w:sz w:val="20"/>
          <w:szCs w:val="20"/>
        </w:rPr>
      </w:pPr>
    </w:p>
    <w:p w:rsidR="0009474B" w:rsidRDefault="0009474B" w:rsidP="00225B32">
      <w:pPr>
        <w:tabs>
          <w:tab w:val="left" w:pos="1549"/>
        </w:tabs>
        <w:jc w:val="both"/>
        <w:rPr>
          <w:rFonts w:ascii="Arial" w:hAnsi="Arial" w:cs="Arial"/>
          <w:sz w:val="20"/>
          <w:szCs w:val="20"/>
        </w:rPr>
      </w:pPr>
    </w:p>
    <w:p w:rsidR="00A76266" w:rsidRDefault="00A76266" w:rsidP="00225B32">
      <w:pPr>
        <w:tabs>
          <w:tab w:val="left" w:pos="1549"/>
        </w:tabs>
        <w:jc w:val="both"/>
        <w:rPr>
          <w:rFonts w:ascii="Arial" w:hAnsi="Arial" w:cs="Arial"/>
          <w:sz w:val="20"/>
          <w:szCs w:val="20"/>
        </w:rPr>
      </w:pPr>
    </w:p>
    <w:p w:rsidR="00A76266" w:rsidRDefault="00A76266" w:rsidP="00225B32">
      <w:pPr>
        <w:tabs>
          <w:tab w:val="left" w:pos="1549"/>
        </w:tabs>
        <w:jc w:val="both"/>
        <w:rPr>
          <w:rFonts w:ascii="Arial" w:hAnsi="Arial" w:cs="Arial"/>
          <w:sz w:val="20"/>
          <w:szCs w:val="20"/>
        </w:rPr>
      </w:pPr>
    </w:p>
    <w:p w:rsidR="00225942" w:rsidRDefault="00962C6E" w:rsidP="003749DE">
      <w:pPr>
        <w:rPr>
          <w:rFonts w:ascii="Arial Black" w:hAnsi="Arial Black" w:cs="Arial"/>
          <w:iCs/>
          <w:noProof/>
          <w:color w:val="1F497D" w:themeColor="text2"/>
          <w:sz w:val="22"/>
          <w:szCs w:val="22"/>
        </w:rPr>
      </w:pPr>
      <w:r>
        <w:rPr>
          <w:rFonts w:ascii="Arial Black" w:hAnsi="Arial Black" w:cs="Arial"/>
          <w:iCs/>
          <w:noProof/>
          <w:color w:val="1F497D" w:themeColor="text2"/>
          <w:sz w:val="22"/>
          <w:szCs w:val="22"/>
        </w:rPr>
        <w:t xml:space="preserve">LE </w:t>
      </w:r>
      <w:r w:rsidRPr="00962C6E">
        <w:rPr>
          <w:rFonts w:ascii="Arial Black" w:hAnsi="Arial Black" w:cs="Arial"/>
          <w:iCs/>
          <w:noProof/>
          <w:color w:val="1F497D" w:themeColor="text2"/>
          <w:sz w:val="22"/>
          <w:szCs w:val="22"/>
        </w:rPr>
        <w:t>COMPONENTI DELL’ECONOMIA NON OSSERVATA</w:t>
      </w:r>
    </w:p>
    <w:p w:rsidR="003749DE" w:rsidRDefault="00962C6E" w:rsidP="003749DE">
      <w:pPr>
        <w:rPr>
          <w:rFonts w:ascii="Arial Narrow" w:hAnsi="Arial Narrow" w:cs="Arial"/>
          <w:color w:val="1F497D" w:themeColor="text2"/>
          <w:sz w:val="22"/>
          <w:szCs w:val="22"/>
        </w:rPr>
      </w:pPr>
      <w:r w:rsidRPr="00962C6E">
        <w:rPr>
          <w:rFonts w:ascii="Arial Narrow" w:hAnsi="Arial Narrow" w:cs="Arial"/>
          <w:color w:val="1F497D" w:themeColor="text2"/>
          <w:sz w:val="22"/>
          <w:szCs w:val="22"/>
        </w:rPr>
        <w:t>Anni 201</w:t>
      </w:r>
      <w:r>
        <w:rPr>
          <w:rFonts w:ascii="Arial Narrow" w:hAnsi="Arial Narrow" w:cs="Arial"/>
          <w:color w:val="1F497D" w:themeColor="text2"/>
          <w:sz w:val="22"/>
          <w:szCs w:val="22"/>
        </w:rPr>
        <w:t>4</w:t>
      </w:r>
      <w:r w:rsidRPr="00962C6E">
        <w:rPr>
          <w:rFonts w:ascii="Arial Narrow" w:hAnsi="Arial Narrow" w:cs="Arial"/>
          <w:color w:val="1F497D" w:themeColor="text2"/>
          <w:sz w:val="22"/>
          <w:szCs w:val="22"/>
        </w:rPr>
        <w:t>-201</w:t>
      </w:r>
      <w:r w:rsidR="00664079">
        <w:rPr>
          <w:rFonts w:ascii="Arial Narrow" w:hAnsi="Arial Narrow" w:cs="Arial"/>
          <w:color w:val="1F497D" w:themeColor="text2"/>
          <w:sz w:val="22"/>
          <w:szCs w:val="22"/>
        </w:rPr>
        <w:t>7</w:t>
      </w:r>
      <w:r w:rsidR="0009474B">
        <w:rPr>
          <w:rFonts w:ascii="Arial Narrow" w:hAnsi="Arial Narrow" w:cs="Arial"/>
          <w:color w:val="1F497D" w:themeColor="text2"/>
          <w:sz w:val="22"/>
          <w:szCs w:val="22"/>
        </w:rPr>
        <w:t>valori</w:t>
      </w:r>
      <w:r w:rsidR="009454B6">
        <w:rPr>
          <w:rFonts w:ascii="Arial Narrow" w:hAnsi="Arial Narrow" w:cs="Arial"/>
          <w:color w:val="1F497D" w:themeColor="text2"/>
          <w:sz w:val="22"/>
          <w:szCs w:val="22"/>
        </w:rPr>
        <w:t xml:space="preserve"> in milioni di euro</w:t>
      </w:r>
      <w:r w:rsidR="00A2532B">
        <w:rPr>
          <w:rFonts w:ascii="Arial Narrow" w:hAnsi="Arial Narrow" w:cs="Arial"/>
          <w:color w:val="1F497D" w:themeColor="text2"/>
          <w:sz w:val="22"/>
          <w:szCs w:val="22"/>
        </w:rPr>
        <w:t xml:space="preserve">, </w:t>
      </w:r>
      <w:r w:rsidR="009454B6">
        <w:rPr>
          <w:rFonts w:ascii="Arial Narrow" w:hAnsi="Arial Narrow" w:cs="Arial"/>
          <w:color w:val="1F497D" w:themeColor="text2"/>
          <w:sz w:val="22"/>
          <w:szCs w:val="22"/>
        </w:rPr>
        <w:t xml:space="preserve">incidenze </w:t>
      </w:r>
      <w:r w:rsidR="00D65D99">
        <w:rPr>
          <w:rFonts w:ascii="Arial Narrow" w:hAnsi="Arial Narrow" w:cs="Arial"/>
          <w:color w:val="1F497D" w:themeColor="text2"/>
          <w:sz w:val="22"/>
          <w:szCs w:val="22"/>
        </w:rPr>
        <w:t xml:space="preserve">sul PIL in </w:t>
      </w:r>
      <w:r w:rsidR="009454B6">
        <w:rPr>
          <w:rFonts w:ascii="Arial Narrow" w:hAnsi="Arial Narrow" w:cs="Arial"/>
          <w:color w:val="1F497D" w:themeColor="text2"/>
          <w:sz w:val="22"/>
          <w:szCs w:val="22"/>
        </w:rPr>
        <w:t xml:space="preserve">valori percentuali </w:t>
      </w:r>
    </w:p>
    <w:p w:rsidR="003749DE" w:rsidRDefault="00D93F89" w:rsidP="003749DE">
      <w:pPr>
        <w:rPr>
          <w:sz w:val="20"/>
          <w:szCs w:val="20"/>
        </w:rPr>
      </w:pPr>
      <w:r>
        <w:rPr>
          <w:rFonts w:ascii="Arial" w:hAnsi="Arial" w:cs="Arial"/>
          <w:b/>
          <w:color w:val="1F497D" w:themeColor="text2"/>
          <w:sz w:val="26"/>
          <w:szCs w:val="26"/>
        </w:rPr>
        <w:fldChar w:fldCharType="begin"/>
      </w:r>
      <w:r w:rsidR="003749DE">
        <w:rPr>
          <w:rFonts w:ascii="Arial" w:hAnsi="Arial" w:cs="Arial"/>
          <w:b/>
          <w:color w:val="1F497D" w:themeColor="text2"/>
          <w:sz w:val="26"/>
          <w:szCs w:val="26"/>
        </w:rPr>
        <w:instrText xml:space="preserve"> LINK </w:instrText>
      </w:r>
      <w:r w:rsidR="009D3E88">
        <w:rPr>
          <w:rFonts w:ascii="Arial" w:hAnsi="Arial" w:cs="Arial"/>
          <w:b/>
          <w:color w:val="1F497D" w:themeColor="text2"/>
          <w:sz w:val="26"/>
          <w:szCs w:val="26"/>
        </w:rPr>
        <w:instrText xml:space="preserve">Excel.Sheet.12 "\\\\bosnia\\Bosnia5\\DCCN\\NOE_benchmark\\Report - il NOE nei Conti Nazionali - bench19\\Report ottobre 2019\\lavoro\\prospetti ediz ott2019.xlsx" "tavola pag2 !R2C2:R11C11" </w:instrText>
      </w:r>
      <w:r w:rsidR="003749DE">
        <w:rPr>
          <w:rFonts w:ascii="Arial" w:hAnsi="Arial" w:cs="Arial"/>
          <w:b/>
          <w:color w:val="1F497D" w:themeColor="text2"/>
          <w:sz w:val="26"/>
          <w:szCs w:val="26"/>
        </w:rPr>
        <w:instrText xml:space="preserve">\a \f 4 \h  \* MERGEFORMAT </w:instrText>
      </w:r>
      <w:r>
        <w:rPr>
          <w:rFonts w:ascii="Arial" w:hAnsi="Arial" w:cs="Arial"/>
          <w:b/>
          <w:color w:val="1F497D" w:themeColor="text2"/>
          <w:sz w:val="26"/>
          <w:szCs w:val="26"/>
        </w:rPr>
        <w:fldChar w:fldCharType="separate"/>
      </w:r>
    </w:p>
    <w:tbl>
      <w:tblPr>
        <w:tblW w:w="9923" w:type="dxa"/>
        <w:tblInd w:w="70" w:type="dxa"/>
        <w:tblBorders>
          <w:top w:val="single" w:sz="4" w:space="0" w:color="FFFFFF" w:themeColor="background1"/>
          <w:bottom w:val="single" w:sz="4" w:space="0" w:color="FFFFFF" w:themeColor="background1"/>
          <w:insideH w:val="single" w:sz="4" w:space="0" w:color="FFFFFF" w:themeColor="background1"/>
          <w:insideV w:val="single" w:sz="4" w:space="0" w:color="A6A6A6" w:themeColor="background1" w:themeShade="A6"/>
        </w:tblBorders>
        <w:tblCellMar>
          <w:left w:w="70" w:type="dxa"/>
          <w:right w:w="70" w:type="dxa"/>
        </w:tblCellMar>
        <w:tblLook w:val="04A0" w:firstRow="1" w:lastRow="0" w:firstColumn="1" w:lastColumn="0" w:noHBand="0" w:noVBand="1"/>
      </w:tblPr>
      <w:tblGrid>
        <w:gridCol w:w="1985"/>
        <w:gridCol w:w="1113"/>
        <w:gridCol w:w="1011"/>
        <w:gridCol w:w="1010"/>
        <w:gridCol w:w="1011"/>
        <w:gridCol w:w="1010"/>
        <w:gridCol w:w="1011"/>
        <w:gridCol w:w="921"/>
        <w:gridCol w:w="851"/>
      </w:tblGrid>
      <w:tr w:rsidR="003749DE" w:rsidRPr="003749DE" w:rsidTr="009C6676">
        <w:trPr>
          <w:trHeight w:val="303"/>
        </w:trPr>
        <w:tc>
          <w:tcPr>
            <w:tcW w:w="1985" w:type="dxa"/>
            <w:vMerge w:val="restart"/>
            <w:shd w:val="clear" w:color="000000" w:fill="D9D9D9"/>
            <w:vAlign w:val="center"/>
            <w:hideMark/>
          </w:tcPr>
          <w:p w:rsidR="003749DE" w:rsidRPr="003749DE" w:rsidRDefault="003749DE" w:rsidP="00525356">
            <w:pPr>
              <w:rPr>
                <w:rFonts w:ascii="Arial Narrow" w:hAnsi="Arial Narrow" w:cs="Calibri"/>
                <w:b/>
                <w:bCs/>
                <w:color w:val="1F497D"/>
                <w:sz w:val="18"/>
                <w:szCs w:val="18"/>
              </w:rPr>
            </w:pPr>
            <w:r w:rsidRPr="003749DE">
              <w:rPr>
                <w:rFonts w:ascii="Arial Narrow" w:hAnsi="Arial Narrow" w:cs="Calibri"/>
                <w:b/>
                <w:bCs/>
                <w:color w:val="1F497D"/>
                <w:sz w:val="18"/>
                <w:szCs w:val="18"/>
              </w:rPr>
              <w:t>COMPONENTI</w:t>
            </w:r>
          </w:p>
        </w:tc>
        <w:tc>
          <w:tcPr>
            <w:tcW w:w="2124" w:type="dxa"/>
            <w:gridSpan w:val="2"/>
            <w:tcBorders>
              <w:bottom w:val="single" w:sz="4" w:space="0" w:color="FFFFFF" w:themeColor="background1"/>
            </w:tcBorders>
            <w:shd w:val="clear" w:color="000000" w:fill="1F497D"/>
            <w:vAlign w:val="center"/>
            <w:hideMark/>
          </w:tcPr>
          <w:p w:rsidR="003749DE" w:rsidRPr="003749DE" w:rsidRDefault="003749DE" w:rsidP="003749DE">
            <w:pPr>
              <w:jc w:val="center"/>
              <w:rPr>
                <w:rFonts w:ascii="Arial Narrow" w:hAnsi="Arial Narrow" w:cs="Calibri"/>
                <w:b/>
                <w:bCs/>
                <w:color w:val="FFFFFF"/>
                <w:sz w:val="18"/>
                <w:szCs w:val="18"/>
              </w:rPr>
            </w:pPr>
            <w:r w:rsidRPr="003749DE">
              <w:rPr>
                <w:rFonts w:ascii="Arial Narrow" w:hAnsi="Arial Narrow" w:cs="Calibri"/>
                <w:b/>
                <w:bCs/>
                <w:color w:val="FFFFFF"/>
                <w:sz w:val="18"/>
                <w:szCs w:val="18"/>
              </w:rPr>
              <w:t>2014</w:t>
            </w:r>
          </w:p>
        </w:tc>
        <w:tc>
          <w:tcPr>
            <w:tcW w:w="2021" w:type="dxa"/>
            <w:gridSpan w:val="2"/>
            <w:shd w:val="clear" w:color="000000" w:fill="1F497D"/>
            <w:vAlign w:val="center"/>
            <w:hideMark/>
          </w:tcPr>
          <w:p w:rsidR="003749DE" w:rsidRPr="003749DE" w:rsidRDefault="003749DE" w:rsidP="003749DE">
            <w:pPr>
              <w:jc w:val="center"/>
              <w:rPr>
                <w:rFonts w:ascii="Arial Narrow" w:hAnsi="Arial Narrow" w:cs="Calibri"/>
                <w:b/>
                <w:bCs/>
                <w:color w:val="FFFFFF"/>
                <w:sz w:val="18"/>
                <w:szCs w:val="18"/>
              </w:rPr>
            </w:pPr>
            <w:r w:rsidRPr="003749DE">
              <w:rPr>
                <w:rFonts w:ascii="Arial Narrow" w:hAnsi="Arial Narrow" w:cs="Calibri"/>
                <w:b/>
                <w:bCs/>
                <w:color w:val="FFFFFF"/>
                <w:sz w:val="18"/>
                <w:szCs w:val="18"/>
              </w:rPr>
              <w:t>2015</w:t>
            </w:r>
          </w:p>
        </w:tc>
        <w:tc>
          <w:tcPr>
            <w:tcW w:w="2021" w:type="dxa"/>
            <w:gridSpan w:val="2"/>
            <w:shd w:val="clear" w:color="000000" w:fill="1F497D"/>
            <w:vAlign w:val="center"/>
            <w:hideMark/>
          </w:tcPr>
          <w:p w:rsidR="003749DE" w:rsidRPr="003749DE" w:rsidRDefault="003749DE" w:rsidP="003749DE">
            <w:pPr>
              <w:jc w:val="center"/>
              <w:rPr>
                <w:rFonts w:ascii="Arial Narrow" w:hAnsi="Arial Narrow" w:cs="Calibri"/>
                <w:b/>
                <w:bCs/>
                <w:color w:val="FFFFFF"/>
                <w:sz w:val="18"/>
                <w:szCs w:val="18"/>
              </w:rPr>
            </w:pPr>
            <w:r w:rsidRPr="003749DE">
              <w:rPr>
                <w:rFonts w:ascii="Arial Narrow" w:hAnsi="Arial Narrow" w:cs="Calibri"/>
                <w:b/>
                <w:bCs/>
                <w:color w:val="FFFFFF"/>
                <w:sz w:val="18"/>
                <w:szCs w:val="18"/>
              </w:rPr>
              <w:t>2016</w:t>
            </w:r>
          </w:p>
        </w:tc>
        <w:tc>
          <w:tcPr>
            <w:tcW w:w="1772" w:type="dxa"/>
            <w:gridSpan w:val="2"/>
            <w:shd w:val="clear" w:color="000000" w:fill="1F497D"/>
            <w:vAlign w:val="center"/>
            <w:hideMark/>
          </w:tcPr>
          <w:p w:rsidR="003749DE" w:rsidRPr="003749DE" w:rsidRDefault="003749DE" w:rsidP="003749DE">
            <w:pPr>
              <w:jc w:val="center"/>
              <w:rPr>
                <w:rFonts w:ascii="Arial Narrow" w:hAnsi="Arial Narrow" w:cs="Calibri"/>
                <w:b/>
                <w:bCs/>
                <w:color w:val="FFFFFF"/>
                <w:sz w:val="18"/>
                <w:szCs w:val="18"/>
              </w:rPr>
            </w:pPr>
            <w:r w:rsidRPr="003749DE">
              <w:rPr>
                <w:rFonts w:ascii="Arial Narrow" w:hAnsi="Arial Narrow" w:cs="Calibri"/>
                <w:b/>
                <w:bCs/>
                <w:color w:val="FFFFFF"/>
                <w:sz w:val="18"/>
                <w:szCs w:val="18"/>
              </w:rPr>
              <w:t>2017</w:t>
            </w:r>
          </w:p>
        </w:tc>
      </w:tr>
      <w:tr w:rsidR="008D1DCB" w:rsidRPr="003749DE" w:rsidTr="004C553A">
        <w:trPr>
          <w:trHeight w:val="303"/>
        </w:trPr>
        <w:tc>
          <w:tcPr>
            <w:tcW w:w="1985" w:type="dxa"/>
            <w:vMerge/>
            <w:vAlign w:val="center"/>
            <w:hideMark/>
          </w:tcPr>
          <w:p w:rsidR="003749DE" w:rsidRPr="003749DE" w:rsidRDefault="003749DE" w:rsidP="003749DE">
            <w:pPr>
              <w:rPr>
                <w:rFonts w:ascii="Arial Narrow" w:hAnsi="Arial Narrow" w:cs="Calibri"/>
                <w:b/>
                <w:bCs/>
                <w:color w:val="1F497D"/>
                <w:sz w:val="18"/>
                <w:szCs w:val="18"/>
              </w:rPr>
            </w:pPr>
          </w:p>
        </w:tc>
        <w:tc>
          <w:tcPr>
            <w:tcW w:w="1113" w:type="dxa"/>
            <w:shd w:val="clear" w:color="000000" w:fill="E5E5E5"/>
            <w:hideMark/>
          </w:tcPr>
          <w:p w:rsidR="003749DE" w:rsidRPr="004C553A" w:rsidRDefault="003749DE" w:rsidP="004C553A">
            <w:pPr>
              <w:spacing w:before="60"/>
              <w:rPr>
                <w:rFonts w:ascii="Arial Narrow" w:hAnsi="Arial Narrow" w:cs="Arial"/>
                <w:color w:val="1F497D" w:themeColor="text2"/>
                <w:sz w:val="18"/>
                <w:szCs w:val="18"/>
              </w:rPr>
            </w:pPr>
            <w:r w:rsidRPr="004C553A">
              <w:rPr>
                <w:rFonts w:ascii="Arial Narrow" w:hAnsi="Arial Narrow" w:cs="Arial"/>
                <w:color w:val="1F497D" w:themeColor="text2"/>
                <w:sz w:val="18"/>
                <w:szCs w:val="18"/>
              </w:rPr>
              <w:t xml:space="preserve"> milioni di euro  </w:t>
            </w:r>
          </w:p>
        </w:tc>
        <w:tc>
          <w:tcPr>
            <w:tcW w:w="1011" w:type="dxa"/>
            <w:shd w:val="clear" w:color="000000" w:fill="E5E5E5"/>
            <w:hideMark/>
          </w:tcPr>
          <w:p w:rsidR="003749DE" w:rsidRPr="004C553A" w:rsidRDefault="003749DE" w:rsidP="004C553A">
            <w:pPr>
              <w:spacing w:before="60"/>
              <w:jc w:val="center"/>
              <w:rPr>
                <w:rFonts w:ascii="Arial Narrow" w:hAnsi="Arial Narrow" w:cs="Arial"/>
                <w:color w:val="1F497D" w:themeColor="text2"/>
                <w:sz w:val="18"/>
                <w:szCs w:val="18"/>
              </w:rPr>
            </w:pPr>
            <w:r w:rsidRPr="004C553A">
              <w:rPr>
                <w:rFonts w:ascii="Arial Narrow" w:hAnsi="Arial Narrow" w:cs="Arial"/>
                <w:color w:val="1F497D" w:themeColor="text2"/>
                <w:sz w:val="18"/>
                <w:szCs w:val="18"/>
              </w:rPr>
              <w:t>incidenza</w:t>
            </w:r>
            <w:r w:rsidR="00664079" w:rsidRPr="004C553A">
              <w:rPr>
                <w:rFonts w:ascii="Arial Narrow" w:hAnsi="Arial Narrow" w:cs="Arial"/>
                <w:color w:val="1F497D" w:themeColor="text2"/>
                <w:sz w:val="18"/>
                <w:szCs w:val="18"/>
              </w:rPr>
              <w:t xml:space="preserve"> sul Pil</w:t>
            </w:r>
            <w:r w:rsidRPr="004C553A">
              <w:rPr>
                <w:rFonts w:ascii="Arial Narrow" w:hAnsi="Arial Narrow" w:cs="Arial"/>
                <w:color w:val="1F497D" w:themeColor="text2"/>
                <w:sz w:val="18"/>
                <w:szCs w:val="18"/>
              </w:rPr>
              <w:t xml:space="preserve"> %</w:t>
            </w:r>
          </w:p>
        </w:tc>
        <w:tc>
          <w:tcPr>
            <w:tcW w:w="1010" w:type="dxa"/>
            <w:shd w:val="clear" w:color="000000" w:fill="D9D9D9"/>
            <w:hideMark/>
          </w:tcPr>
          <w:p w:rsidR="003749DE" w:rsidRPr="004C553A" w:rsidRDefault="003749DE" w:rsidP="004C553A">
            <w:pPr>
              <w:spacing w:before="60"/>
              <w:jc w:val="center"/>
              <w:rPr>
                <w:rFonts w:ascii="Arial Narrow" w:hAnsi="Arial Narrow" w:cs="Arial"/>
                <w:color w:val="1F497D" w:themeColor="text2"/>
                <w:sz w:val="18"/>
                <w:szCs w:val="18"/>
              </w:rPr>
            </w:pPr>
            <w:r w:rsidRPr="004C553A">
              <w:rPr>
                <w:rFonts w:ascii="Arial Narrow" w:hAnsi="Arial Narrow" w:cs="Arial"/>
                <w:color w:val="1F497D" w:themeColor="text2"/>
                <w:sz w:val="18"/>
                <w:szCs w:val="18"/>
              </w:rPr>
              <w:t>milioni di euro</w:t>
            </w:r>
          </w:p>
        </w:tc>
        <w:tc>
          <w:tcPr>
            <w:tcW w:w="1011" w:type="dxa"/>
            <w:shd w:val="clear" w:color="000000" w:fill="D9D9D9"/>
            <w:hideMark/>
          </w:tcPr>
          <w:p w:rsidR="003749DE" w:rsidRPr="004C553A" w:rsidRDefault="00331A24" w:rsidP="004C553A">
            <w:pPr>
              <w:spacing w:before="60"/>
              <w:jc w:val="center"/>
              <w:rPr>
                <w:rFonts w:ascii="Arial Narrow" w:hAnsi="Arial Narrow" w:cs="Arial"/>
                <w:color w:val="1F497D" w:themeColor="text2"/>
                <w:sz w:val="18"/>
                <w:szCs w:val="18"/>
              </w:rPr>
            </w:pPr>
            <w:r w:rsidRPr="004C553A">
              <w:rPr>
                <w:rFonts w:ascii="Arial Narrow" w:hAnsi="Arial Narrow" w:cs="Arial"/>
                <w:color w:val="1F497D" w:themeColor="text2"/>
                <w:sz w:val="18"/>
                <w:szCs w:val="18"/>
              </w:rPr>
              <w:t>in</w:t>
            </w:r>
            <w:r w:rsidR="00664079" w:rsidRPr="004C553A">
              <w:rPr>
                <w:rFonts w:ascii="Arial Narrow" w:hAnsi="Arial Narrow" w:cs="Arial"/>
                <w:color w:val="1F497D" w:themeColor="text2"/>
                <w:sz w:val="18"/>
                <w:szCs w:val="18"/>
              </w:rPr>
              <w:t>cidenza sul Pil %</w:t>
            </w:r>
          </w:p>
        </w:tc>
        <w:tc>
          <w:tcPr>
            <w:tcW w:w="1010" w:type="dxa"/>
            <w:shd w:val="clear" w:color="000000" w:fill="E5E5E5"/>
            <w:hideMark/>
          </w:tcPr>
          <w:p w:rsidR="003749DE" w:rsidRPr="004C553A" w:rsidRDefault="003749DE" w:rsidP="004C553A">
            <w:pPr>
              <w:spacing w:before="60"/>
              <w:jc w:val="center"/>
              <w:rPr>
                <w:rFonts w:ascii="Arial Narrow" w:hAnsi="Arial Narrow" w:cs="Arial"/>
                <w:color w:val="1F497D" w:themeColor="text2"/>
                <w:sz w:val="18"/>
                <w:szCs w:val="18"/>
              </w:rPr>
            </w:pPr>
            <w:r w:rsidRPr="004C553A">
              <w:rPr>
                <w:rFonts w:ascii="Arial Narrow" w:hAnsi="Arial Narrow" w:cs="Arial"/>
                <w:color w:val="1F497D" w:themeColor="text2"/>
                <w:sz w:val="18"/>
                <w:szCs w:val="18"/>
              </w:rPr>
              <w:t>milioni di euro</w:t>
            </w:r>
          </w:p>
        </w:tc>
        <w:tc>
          <w:tcPr>
            <w:tcW w:w="1011" w:type="dxa"/>
            <w:shd w:val="clear" w:color="000000" w:fill="E5E5E5"/>
            <w:hideMark/>
          </w:tcPr>
          <w:p w:rsidR="003749DE" w:rsidRPr="004C553A" w:rsidRDefault="00331A24" w:rsidP="004C553A">
            <w:pPr>
              <w:spacing w:before="60"/>
              <w:jc w:val="center"/>
              <w:rPr>
                <w:rFonts w:ascii="Arial Narrow" w:hAnsi="Arial Narrow" w:cs="Arial"/>
                <w:color w:val="1F497D" w:themeColor="text2"/>
                <w:sz w:val="18"/>
                <w:szCs w:val="18"/>
              </w:rPr>
            </w:pPr>
            <w:r w:rsidRPr="004C553A">
              <w:rPr>
                <w:rFonts w:ascii="Arial Narrow" w:hAnsi="Arial Narrow" w:cs="Arial"/>
                <w:color w:val="1F497D" w:themeColor="text2"/>
                <w:sz w:val="18"/>
                <w:szCs w:val="18"/>
              </w:rPr>
              <w:t>in</w:t>
            </w:r>
            <w:r w:rsidR="00664079" w:rsidRPr="004C553A">
              <w:rPr>
                <w:rFonts w:ascii="Arial Narrow" w:hAnsi="Arial Narrow" w:cs="Arial"/>
                <w:color w:val="1F497D" w:themeColor="text2"/>
                <w:sz w:val="18"/>
                <w:szCs w:val="18"/>
              </w:rPr>
              <w:t>cidenza sul Pil %</w:t>
            </w:r>
          </w:p>
        </w:tc>
        <w:tc>
          <w:tcPr>
            <w:tcW w:w="921" w:type="dxa"/>
            <w:shd w:val="clear" w:color="auto" w:fill="D9D9D9" w:themeFill="background1" w:themeFillShade="D9"/>
            <w:hideMark/>
          </w:tcPr>
          <w:p w:rsidR="003749DE" w:rsidRPr="004C553A" w:rsidRDefault="003749DE" w:rsidP="004C553A">
            <w:pPr>
              <w:spacing w:before="60"/>
              <w:jc w:val="center"/>
              <w:rPr>
                <w:rFonts w:ascii="Arial Narrow" w:hAnsi="Arial Narrow" w:cs="Arial"/>
                <w:color w:val="1F497D" w:themeColor="text2"/>
                <w:sz w:val="18"/>
                <w:szCs w:val="18"/>
              </w:rPr>
            </w:pPr>
            <w:r w:rsidRPr="004C553A">
              <w:rPr>
                <w:rFonts w:ascii="Arial Narrow" w:hAnsi="Arial Narrow" w:cs="Arial"/>
                <w:color w:val="1F497D" w:themeColor="text2"/>
                <w:sz w:val="18"/>
                <w:szCs w:val="18"/>
              </w:rPr>
              <w:t>milioni di euro</w:t>
            </w:r>
          </w:p>
        </w:tc>
        <w:tc>
          <w:tcPr>
            <w:tcW w:w="851" w:type="dxa"/>
            <w:shd w:val="clear" w:color="auto" w:fill="D9D9D9" w:themeFill="background1" w:themeFillShade="D9"/>
            <w:hideMark/>
          </w:tcPr>
          <w:p w:rsidR="003749DE" w:rsidRPr="004C553A" w:rsidRDefault="00331A24" w:rsidP="004C553A">
            <w:pPr>
              <w:spacing w:before="60"/>
              <w:jc w:val="center"/>
              <w:rPr>
                <w:rFonts w:ascii="Arial Narrow" w:hAnsi="Arial Narrow" w:cs="Arial"/>
                <w:color w:val="1F497D" w:themeColor="text2"/>
                <w:sz w:val="18"/>
                <w:szCs w:val="18"/>
              </w:rPr>
            </w:pPr>
            <w:r w:rsidRPr="004C553A">
              <w:rPr>
                <w:rFonts w:ascii="Arial Narrow" w:hAnsi="Arial Narrow" w:cs="Arial"/>
                <w:color w:val="1F497D" w:themeColor="text2"/>
                <w:sz w:val="18"/>
                <w:szCs w:val="18"/>
              </w:rPr>
              <w:t>in</w:t>
            </w:r>
            <w:r w:rsidR="00664079" w:rsidRPr="004C553A">
              <w:rPr>
                <w:rFonts w:ascii="Arial Narrow" w:hAnsi="Arial Narrow" w:cs="Arial"/>
                <w:color w:val="1F497D" w:themeColor="text2"/>
                <w:sz w:val="18"/>
                <w:szCs w:val="18"/>
              </w:rPr>
              <w:t>cidenza sul Pil %</w:t>
            </w:r>
          </w:p>
        </w:tc>
      </w:tr>
      <w:tr w:rsidR="008D1DCB" w:rsidRPr="003749DE" w:rsidTr="004C553A">
        <w:trPr>
          <w:trHeight w:val="322"/>
        </w:trPr>
        <w:tc>
          <w:tcPr>
            <w:tcW w:w="1985" w:type="dxa"/>
            <w:shd w:val="clear" w:color="000000" w:fill="D9D9D9"/>
            <w:vAlign w:val="center"/>
            <w:hideMark/>
          </w:tcPr>
          <w:p w:rsidR="003749DE" w:rsidRPr="003749DE" w:rsidRDefault="003749DE" w:rsidP="003749DE">
            <w:pPr>
              <w:rPr>
                <w:rFonts w:ascii="Arial Narrow" w:hAnsi="Arial Narrow" w:cs="Calibri"/>
                <w:b/>
                <w:bCs/>
                <w:color w:val="1F497D"/>
                <w:sz w:val="18"/>
                <w:szCs w:val="18"/>
              </w:rPr>
            </w:pPr>
            <w:r w:rsidRPr="003749DE">
              <w:rPr>
                <w:rFonts w:ascii="Arial Narrow" w:hAnsi="Arial Narrow" w:cs="Calibri"/>
                <w:b/>
                <w:bCs/>
                <w:color w:val="1F497D"/>
                <w:sz w:val="18"/>
                <w:szCs w:val="18"/>
              </w:rPr>
              <w:t>Economia sommersa</w:t>
            </w:r>
          </w:p>
        </w:tc>
        <w:tc>
          <w:tcPr>
            <w:tcW w:w="1113" w:type="dxa"/>
            <w:shd w:val="clear" w:color="000000" w:fill="E5E5E5"/>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 xml:space="preserve">195.558 </w:t>
            </w:r>
          </w:p>
        </w:tc>
        <w:tc>
          <w:tcPr>
            <w:tcW w:w="1011" w:type="dxa"/>
            <w:shd w:val="clear" w:color="000000" w:fill="E5E5E5"/>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12,0</w:t>
            </w:r>
          </w:p>
        </w:tc>
        <w:tc>
          <w:tcPr>
            <w:tcW w:w="1010" w:type="dxa"/>
            <w:shd w:val="clear" w:color="000000" w:fill="D9D9D9"/>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 xml:space="preserve">191.145 </w:t>
            </w:r>
          </w:p>
        </w:tc>
        <w:tc>
          <w:tcPr>
            <w:tcW w:w="1011" w:type="dxa"/>
            <w:shd w:val="clear" w:color="000000" w:fill="D9D9D9"/>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11,5</w:t>
            </w:r>
          </w:p>
        </w:tc>
        <w:tc>
          <w:tcPr>
            <w:tcW w:w="1010" w:type="dxa"/>
            <w:shd w:val="clear" w:color="000000" w:fill="E5E5E5"/>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 xml:space="preserve">189.619 </w:t>
            </w:r>
          </w:p>
        </w:tc>
        <w:tc>
          <w:tcPr>
            <w:tcW w:w="1011" w:type="dxa"/>
            <w:shd w:val="clear" w:color="000000" w:fill="E5E5E5"/>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11,2</w:t>
            </w:r>
          </w:p>
        </w:tc>
        <w:tc>
          <w:tcPr>
            <w:tcW w:w="921" w:type="dxa"/>
            <w:shd w:val="clear" w:color="000000" w:fill="D9D9D9"/>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 xml:space="preserve">191.955 </w:t>
            </w:r>
          </w:p>
        </w:tc>
        <w:tc>
          <w:tcPr>
            <w:tcW w:w="851" w:type="dxa"/>
            <w:shd w:val="clear" w:color="000000" w:fill="D9D9D9"/>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11,1</w:t>
            </w:r>
          </w:p>
        </w:tc>
      </w:tr>
      <w:tr w:rsidR="007D716C" w:rsidRPr="003749DE" w:rsidTr="004C553A">
        <w:trPr>
          <w:trHeight w:val="322"/>
        </w:trPr>
        <w:tc>
          <w:tcPr>
            <w:tcW w:w="1985" w:type="dxa"/>
            <w:shd w:val="clear" w:color="000000" w:fill="D9D9D9"/>
            <w:vAlign w:val="center"/>
            <w:hideMark/>
          </w:tcPr>
          <w:p w:rsidR="007D716C" w:rsidRPr="003749DE" w:rsidRDefault="007D716C" w:rsidP="007D716C">
            <w:pPr>
              <w:rPr>
                <w:rFonts w:ascii="Arial Narrow" w:hAnsi="Arial Narrow" w:cs="Calibri"/>
                <w:i/>
                <w:iCs/>
                <w:color w:val="1F497D"/>
                <w:sz w:val="18"/>
                <w:szCs w:val="18"/>
              </w:rPr>
            </w:pPr>
            <w:r w:rsidRPr="003749DE">
              <w:rPr>
                <w:rFonts w:ascii="Arial Narrow" w:hAnsi="Arial Narrow" w:cs="Calibri"/>
                <w:b/>
                <w:bCs/>
                <w:color w:val="1F497D"/>
                <w:sz w:val="18"/>
                <w:szCs w:val="18"/>
              </w:rPr>
              <w:t> </w:t>
            </w:r>
            <w:r w:rsidRPr="003749DE">
              <w:rPr>
                <w:rFonts w:ascii="Arial Narrow" w:hAnsi="Arial Narrow" w:cs="Calibri"/>
                <w:i/>
                <w:iCs/>
                <w:color w:val="1F497D"/>
                <w:sz w:val="18"/>
                <w:szCs w:val="18"/>
              </w:rPr>
              <w:t>da Sotto</w:t>
            </w:r>
            <w:r>
              <w:rPr>
                <w:rFonts w:ascii="Arial Narrow" w:hAnsi="Arial Narrow" w:cs="Calibri"/>
                <w:i/>
                <w:iCs/>
                <w:color w:val="1F497D"/>
                <w:sz w:val="18"/>
                <w:szCs w:val="18"/>
              </w:rPr>
              <w:t>-</w:t>
            </w:r>
            <w:r w:rsidRPr="003749DE">
              <w:rPr>
                <w:rFonts w:ascii="Arial Narrow" w:hAnsi="Arial Narrow" w:cs="Calibri"/>
                <w:i/>
                <w:iCs/>
                <w:color w:val="1F497D"/>
                <w:sz w:val="18"/>
                <w:szCs w:val="18"/>
              </w:rPr>
              <w:t>dichiarazione</w:t>
            </w:r>
          </w:p>
        </w:tc>
        <w:tc>
          <w:tcPr>
            <w:tcW w:w="1113" w:type="dxa"/>
            <w:shd w:val="clear" w:color="000000" w:fill="E5E5E5"/>
            <w:vAlign w:val="center"/>
            <w:hideMark/>
          </w:tcPr>
          <w:p w:rsidR="007D716C" w:rsidRPr="003749DE" w:rsidRDefault="007D716C" w:rsidP="003749DE">
            <w:pPr>
              <w:jc w:val="right"/>
              <w:rPr>
                <w:rFonts w:ascii="Arial Narrow" w:hAnsi="Arial Narrow" w:cs="Calibri"/>
                <w:i/>
                <w:iCs/>
                <w:color w:val="000000"/>
                <w:sz w:val="18"/>
                <w:szCs w:val="18"/>
              </w:rPr>
            </w:pPr>
            <w:r w:rsidRPr="003749DE">
              <w:rPr>
                <w:rFonts w:ascii="Arial Narrow" w:hAnsi="Arial Narrow" w:cs="Calibri"/>
                <w:i/>
                <w:iCs/>
                <w:color w:val="000000"/>
                <w:sz w:val="18"/>
                <w:szCs w:val="18"/>
              </w:rPr>
              <w:t xml:space="preserve">98.558 </w:t>
            </w:r>
          </w:p>
        </w:tc>
        <w:tc>
          <w:tcPr>
            <w:tcW w:w="1011" w:type="dxa"/>
            <w:shd w:val="clear" w:color="000000" w:fill="E5E5E5"/>
            <w:vAlign w:val="center"/>
            <w:hideMark/>
          </w:tcPr>
          <w:p w:rsidR="007D716C" w:rsidRPr="003749DE" w:rsidRDefault="007D716C" w:rsidP="003749DE">
            <w:pPr>
              <w:jc w:val="right"/>
              <w:rPr>
                <w:rFonts w:ascii="Arial Narrow" w:hAnsi="Arial Narrow" w:cs="Calibri"/>
                <w:i/>
                <w:iCs/>
                <w:color w:val="000000"/>
                <w:sz w:val="18"/>
                <w:szCs w:val="18"/>
              </w:rPr>
            </w:pPr>
            <w:r w:rsidRPr="003749DE">
              <w:rPr>
                <w:rFonts w:ascii="Arial Narrow" w:hAnsi="Arial Narrow" w:cs="Calibri"/>
                <w:i/>
                <w:iCs/>
                <w:color w:val="000000"/>
                <w:sz w:val="18"/>
                <w:szCs w:val="18"/>
              </w:rPr>
              <w:t>6,1</w:t>
            </w:r>
          </w:p>
        </w:tc>
        <w:tc>
          <w:tcPr>
            <w:tcW w:w="1010" w:type="dxa"/>
            <w:shd w:val="clear" w:color="000000" w:fill="D9D9D9"/>
            <w:vAlign w:val="center"/>
            <w:hideMark/>
          </w:tcPr>
          <w:p w:rsidR="007D716C" w:rsidRPr="003749DE" w:rsidRDefault="007D716C" w:rsidP="003749DE">
            <w:pPr>
              <w:jc w:val="right"/>
              <w:rPr>
                <w:rFonts w:ascii="Arial Narrow" w:hAnsi="Arial Narrow" w:cs="Calibri"/>
                <w:i/>
                <w:iCs/>
                <w:color w:val="000000"/>
                <w:sz w:val="18"/>
                <w:szCs w:val="18"/>
              </w:rPr>
            </w:pPr>
            <w:r w:rsidRPr="003749DE">
              <w:rPr>
                <w:rFonts w:ascii="Arial Narrow" w:hAnsi="Arial Narrow" w:cs="Calibri"/>
                <w:i/>
                <w:iCs/>
                <w:color w:val="000000"/>
                <w:sz w:val="18"/>
                <w:szCs w:val="18"/>
              </w:rPr>
              <w:t xml:space="preserve">93.910 </w:t>
            </w:r>
          </w:p>
        </w:tc>
        <w:tc>
          <w:tcPr>
            <w:tcW w:w="1011" w:type="dxa"/>
            <w:shd w:val="clear" w:color="000000" w:fill="D9D9D9"/>
            <w:vAlign w:val="center"/>
            <w:hideMark/>
          </w:tcPr>
          <w:p w:rsidR="007D716C" w:rsidRPr="003749DE" w:rsidRDefault="007D716C" w:rsidP="003749DE">
            <w:pPr>
              <w:jc w:val="right"/>
              <w:rPr>
                <w:rFonts w:ascii="Arial Narrow" w:hAnsi="Arial Narrow" w:cs="Calibri"/>
                <w:i/>
                <w:iCs/>
                <w:color w:val="000000"/>
                <w:sz w:val="18"/>
                <w:szCs w:val="18"/>
              </w:rPr>
            </w:pPr>
            <w:r w:rsidRPr="003749DE">
              <w:rPr>
                <w:rFonts w:ascii="Arial Narrow" w:hAnsi="Arial Narrow" w:cs="Calibri"/>
                <w:i/>
                <w:iCs/>
                <w:color w:val="000000"/>
                <w:sz w:val="18"/>
                <w:szCs w:val="18"/>
              </w:rPr>
              <w:t>5,7</w:t>
            </w:r>
          </w:p>
        </w:tc>
        <w:tc>
          <w:tcPr>
            <w:tcW w:w="1010" w:type="dxa"/>
            <w:shd w:val="clear" w:color="000000" w:fill="E5E5E5"/>
            <w:vAlign w:val="center"/>
            <w:hideMark/>
          </w:tcPr>
          <w:p w:rsidR="007D716C" w:rsidRPr="003749DE" w:rsidRDefault="007D716C" w:rsidP="003749DE">
            <w:pPr>
              <w:jc w:val="right"/>
              <w:rPr>
                <w:rFonts w:ascii="Arial Narrow" w:hAnsi="Arial Narrow" w:cs="Calibri"/>
                <w:i/>
                <w:iCs/>
                <w:color w:val="000000"/>
                <w:sz w:val="18"/>
                <w:szCs w:val="18"/>
              </w:rPr>
            </w:pPr>
            <w:r w:rsidRPr="003749DE">
              <w:rPr>
                <w:rFonts w:ascii="Arial Narrow" w:hAnsi="Arial Narrow" w:cs="Calibri"/>
                <w:i/>
                <w:iCs/>
                <w:color w:val="000000"/>
                <w:sz w:val="18"/>
                <w:szCs w:val="18"/>
              </w:rPr>
              <w:t xml:space="preserve">95.189 </w:t>
            </w:r>
          </w:p>
        </w:tc>
        <w:tc>
          <w:tcPr>
            <w:tcW w:w="1011" w:type="dxa"/>
            <w:shd w:val="clear" w:color="000000" w:fill="E5E5E5"/>
            <w:vAlign w:val="center"/>
            <w:hideMark/>
          </w:tcPr>
          <w:p w:rsidR="007D716C" w:rsidRPr="003749DE" w:rsidRDefault="007D716C" w:rsidP="003749DE">
            <w:pPr>
              <w:jc w:val="right"/>
              <w:rPr>
                <w:rFonts w:ascii="Arial Narrow" w:hAnsi="Arial Narrow" w:cs="Calibri"/>
                <w:i/>
                <w:iCs/>
                <w:color w:val="000000"/>
                <w:sz w:val="18"/>
                <w:szCs w:val="18"/>
              </w:rPr>
            </w:pPr>
            <w:r w:rsidRPr="003749DE">
              <w:rPr>
                <w:rFonts w:ascii="Arial Narrow" w:hAnsi="Arial Narrow" w:cs="Calibri"/>
                <w:i/>
                <w:iCs/>
                <w:color w:val="000000"/>
                <w:sz w:val="18"/>
                <w:szCs w:val="18"/>
              </w:rPr>
              <w:t>5,6</w:t>
            </w:r>
          </w:p>
        </w:tc>
        <w:tc>
          <w:tcPr>
            <w:tcW w:w="921" w:type="dxa"/>
            <w:shd w:val="clear" w:color="000000" w:fill="D9D9D9"/>
            <w:vAlign w:val="center"/>
            <w:hideMark/>
          </w:tcPr>
          <w:p w:rsidR="007D716C" w:rsidRPr="003749DE" w:rsidRDefault="007D716C" w:rsidP="003749DE">
            <w:pPr>
              <w:jc w:val="right"/>
              <w:rPr>
                <w:rFonts w:ascii="Arial Narrow" w:hAnsi="Arial Narrow" w:cs="Calibri"/>
                <w:i/>
                <w:iCs/>
                <w:color w:val="000000"/>
                <w:sz w:val="18"/>
                <w:szCs w:val="18"/>
              </w:rPr>
            </w:pPr>
            <w:r w:rsidRPr="003749DE">
              <w:rPr>
                <w:rFonts w:ascii="Arial Narrow" w:hAnsi="Arial Narrow" w:cs="Calibri"/>
                <w:i/>
                <w:iCs/>
                <w:color w:val="000000"/>
                <w:sz w:val="18"/>
                <w:szCs w:val="18"/>
              </w:rPr>
              <w:t xml:space="preserve">97.165 </w:t>
            </w:r>
          </w:p>
        </w:tc>
        <w:tc>
          <w:tcPr>
            <w:tcW w:w="851" w:type="dxa"/>
            <w:shd w:val="clear" w:color="000000" w:fill="D9D9D9"/>
            <w:vAlign w:val="center"/>
            <w:hideMark/>
          </w:tcPr>
          <w:p w:rsidR="007D716C" w:rsidRPr="003749DE" w:rsidRDefault="007D716C" w:rsidP="003749DE">
            <w:pPr>
              <w:jc w:val="right"/>
              <w:rPr>
                <w:rFonts w:ascii="Arial Narrow" w:hAnsi="Arial Narrow" w:cs="Calibri"/>
                <w:i/>
                <w:iCs/>
                <w:color w:val="000000"/>
                <w:sz w:val="18"/>
                <w:szCs w:val="18"/>
              </w:rPr>
            </w:pPr>
            <w:r w:rsidRPr="003749DE">
              <w:rPr>
                <w:rFonts w:ascii="Arial Narrow" w:hAnsi="Arial Narrow" w:cs="Calibri"/>
                <w:i/>
                <w:iCs/>
                <w:color w:val="000000"/>
                <w:sz w:val="18"/>
                <w:szCs w:val="18"/>
              </w:rPr>
              <w:t>5,6</w:t>
            </w:r>
          </w:p>
        </w:tc>
      </w:tr>
      <w:tr w:rsidR="007D716C" w:rsidRPr="003749DE" w:rsidTr="004C553A">
        <w:trPr>
          <w:trHeight w:val="322"/>
        </w:trPr>
        <w:tc>
          <w:tcPr>
            <w:tcW w:w="1985" w:type="dxa"/>
            <w:shd w:val="clear" w:color="000000" w:fill="D9D9D9"/>
            <w:vAlign w:val="center"/>
            <w:hideMark/>
          </w:tcPr>
          <w:p w:rsidR="007D716C" w:rsidRPr="003749DE" w:rsidRDefault="007D716C" w:rsidP="007D716C">
            <w:pPr>
              <w:rPr>
                <w:rFonts w:ascii="Arial Narrow" w:hAnsi="Arial Narrow" w:cs="Calibri"/>
                <w:i/>
                <w:iCs/>
                <w:color w:val="1F497D"/>
                <w:sz w:val="18"/>
                <w:szCs w:val="18"/>
              </w:rPr>
            </w:pPr>
            <w:r w:rsidRPr="003749DE">
              <w:rPr>
                <w:rFonts w:ascii="Arial Narrow" w:hAnsi="Arial Narrow" w:cs="Calibri"/>
                <w:b/>
                <w:bCs/>
                <w:color w:val="1F497D"/>
                <w:sz w:val="18"/>
                <w:szCs w:val="18"/>
              </w:rPr>
              <w:t> </w:t>
            </w:r>
            <w:r w:rsidRPr="003749DE">
              <w:rPr>
                <w:rFonts w:ascii="Arial Narrow" w:hAnsi="Arial Narrow" w:cs="Calibri"/>
                <w:i/>
                <w:iCs/>
                <w:color w:val="1F497D"/>
                <w:sz w:val="18"/>
                <w:szCs w:val="18"/>
              </w:rPr>
              <w:t>da Lavoro irregolare</w:t>
            </w:r>
          </w:p>
        </w:tc>
        <w:tc>
          <w:tcPr>
            <w:tcW w:w="1113" w:type="dxa"/>
            <w:shd w:val="clear" w:color="000000" w:fill="E5E5E5"/>
            <w:vAlign w:val="center"/>
            <w:hideMark/>
          </w:tcPr>
          <w:p w:rsidR="007D716C" w:rsidRPr="003749DE" w:rsidRDefault="007D716C" w:rsidP="003749DE">
            <w:pPr>
              <w:jc w:val="right"/>
              <w:rPr>
                <w:rFonts w:ascii="Arial Narrow" w:hAnsi="Arial Narrow" w:cs="Calibri"/>
                <w:i/>
                <w:iCs/>
                <w:color w:val="000000"/>
                <w:sz w:val="18"/>
                <w:szCs w:val="18"/>
              </w:rPr>
            </w:pPr>
            <w:r w:rsidRPr="003749DE">
              <w:rPr>
                <w:rFonts w:ascii="Arial Narrow" w:hAnsi="Arial Narrow" w:cs="Calibri"/>
                <w:i/>
                <w:iCs/>
                <w:color w:val="000000"/>
                <w:sz w:val="18"/>
                <w:szCs w:val="18"/>
              </w:rPr>
              <w:t xml:space="preserve">80.894 </w:t>
            </w:r>
          </w:p>
        </w:tc>
        <w:tc>
          <w:tcPr>
            <w:tcW w:w="1011" w:type="dxa"/>
            <w:shd w:val="clear" w:color="000000" w:fill="E5E5E5"/>
            <w:vAlign w:val="center"/>
            <w:hideMark/>
          </w:tcPr>
          <w:p w:rsidR="007D716C" w:rsidRPr="003749DE" w:rsidRDefault="007D716C" w:rsidP="003749DE">
            <w:pPr>
              <w:jc w:val="right"/>
              <w:rPr>
                <w:rFonts w:ascii="Arial Narrow" w:hAnsi="Arial Narrow" w:cs="Calibri"/>
                <w:i/>
                <w:iCs/>
                <w:color w:val="000000"/>
                <w:sz w:val="18"/>
                <w:szCs w:val="18"/>
              </w:rPr>
            </w:pPr>
            <w:r w:rsidRPr="003749DE">
              <w:rPr>
                <w:rFonts w:ascii="Arial Narrow" w:hAnsi="Arial Narrow" w:cs="Calibri"/>
                <w:i/>
                <w:iCs/>
                <w:color w:val="000000"/>
                <w:sz w:val="18"/>
                <w:szCs w:val="18"/>
              </w:rPr>
              <w:t>5,0</w:t>
            </w:r>
          </w:p>
        </w:tc>
        <w:tc>
          <w:tcPr>
            <w:tcW w:w="1010" w:type="dxa"/>
            <w:shd w:val="clear" w:color="000000" w:fill="D9D9D9"/>
            <w:vAlign w:val="center"/>
            <w:hideMark/>
          </w:tcPr>
          <w:p w:rsidR="007D716C" w:rsidRPr="003749DE" w:rsidRDefault="007D716C" w:rsidP="003749DE">
            <w:pPr>
              <w:jc w:val="right"/>
              <w:rPr>
                <w:rFonts w:ascii="Arial Narrow" w:hAnsi="Arial Narrow" w:cs="Calibri"/>
                <w:i/>
                <w:iCs/>
                <w:color w:val="000000"/>
                <w:sz w:val="18"/>
                <w:szCs w:val="18"/>
              </w:rPr>
            </w:pPr>
            <w:r w:rsidRPr="003749DE">
              <w:rPr>
                <w:rFonts w:ascii="Arial Narrow" w:hAnsi="Arial Narrow" w:cs="Calibri"/>
                <w:i/>
                <w:iCs/>
                <w:color w:val="000000"/>
                <w:sz w:val="18"/>
                <w:szCs w:val="18"/>
              </w:rPr>
              <w:t xml:space="preserve">79.729 </w:t>
            </w:r>
          </w:p>
        </w:tc>
        <w:tc>
          <w:tcPr>
            <w:tcW w:w="1011" w:type="dxa"/>
            <w:shd w:val="clear" w:color="000000" w:fill="D9D9D9"/>
            <w:vAlign w:val="center"/>
            <w:hideMark/>
          </w:tcPr>
          <w:p w:rsidR="007D716C" w:rsidRPr="003749DE" w:rsidRDefault="007D716C" w:rsidP="003749DE">
            <w:pPr>
              <w:jc w:val="right"/>
              <w:rPr>
                <w:rFonts w:ascii="Arial Narrow" w:hAnsi="Arial Narrow" w:cs="Calibri"/>
                <w:i/>
                <w:iCs/>
                <w:color w:val="000000"/>
                <w:sz w:val="18"/>
                <w:szCs w:val="18"/>
              </w:rPr>
            </w:pPr>
            <w:r w:rsidRPr="003749DE">
              <w:rPr>
                <w:rFonts w:ascii="Arial Narrow" w:hAnsi="Arial Narrow" w:cs="Calibri"/>
                <w:i/>
                <w:iCs/>
                <w:color w:val="000000"/>
                <w:sz w:val="18"/>
                <w:szCs w:val="18"/>
              </w:rPr>
              <w:t>4,8</w:t>
            </w:r>
          </w:p>
        </w:tc>
        <w:tc>
          <w:tcPr>
            <w:tcW w:w="1010" w:type="dxa"/>
            <w:shd w:val="clear" w:color="000000" w:fill="E5E5E5"/>
            <w:vAlign w:val="center"/>
            <w:hideMark/>
          </w:tcPr>
          <w:p w:rsidR="007D716C" w:rsidRPr="003749DE" w:rsidRDefault="007D716C" w:rsidP="003749DE">
            <w:pPr>
              <w:jc w:val="right"/>
              <w:rPr>
                <w:rFonts w:ascii="Arial Narrow" w:hAnsi="Arial Narrow" w:cs="Calibri"/>
                <w:i/>
                <w:iCs/>
                <w:color w:val="000000"/>
                <w:sz w:val="18"/>
                <w:szCs w:val="18"/>
              </w:rPr>
            </w:pPr>
            <w:r w:rsidRPr="003749DE">
              <w:rPr>
                <w:rFonts w:ascii="Arial Narrow" w:hAnsi="Arial Narrow" w:cs="Calibri"/>
                <w:i/>
                <w:iCs/>
                <w:color w:val="000000"/>
                <w:sz w:val="18"/>
                <w:szCs w:val="18"/>
              </w:rPr>
              <w:t xml:space="preserve">78.492 </w:t>
            </w:r>
          </w:p>
        </w:tc>
        <w:tc>
          <w:tcPr>
            <w:tcW w:w="1011" w:type="dxa"/>
            <w:shd w:val="clear" w:color="000000" w:fill="E5E5E5"/>
            <w:vAlign w:val="center"/>
            <w:hideMark/>
          </w:tcPr>
          <w:p w:rsidR="007D716C" w:rsidRPr="003749DE" w:rsidRDefault="007D716C" w:rsidP="003749DE">
            <w:pPr>
              <w:jc w:val="right"/>
              <w:rPr>
                <w:rFonts w:ascii="Arial Narrow" w:hAnsi="Arial Narrow" w:cs="Calibri"/>
                <w:i/>
                <w:iCs/>
                <w:color w:val="000000"/>
                <w:sz w:val="18"/>
                <w:szCs w:val="18"/>
              </w:rPr>
            </w:pPr>
            <w:r w:rsidRPr="003749DE">
              <w:rPr>
                <w:rFonts w:ascii="Arial Narrow" w:hAnsi="Arial Narrow" w:cs="Calibri"/>
                <w:i/>
                <w:iCs/>
                <w:color w:val="000000"/>
                <w:sz w:val="18"/>
                <w:szCs w:val="18"/>
              </w:rPr>
              <w:t>4,6</w:t>
            </w:r>
          </w:p>
        </w:tc>
        <w:tc>
          <w:tcPr>
            <w:tcW w:w="921" w:type="dxa"/>
            <w:shd w:val="clear" w:color="000000" w:fill="D9D9D9"/>
            <w:vAlign w:val="center"/>
            <w:hideMark/>
          </w:tcPr>
          <w:p w:rsidR="007D716C" w:rsidRPr="003749DE" w:rsidRDefault="007D716C" w:rsidP="003749DE">
            <w:pPr>
              <w:jc w:val="right"/>
              <w:rPr>
                <w:rFonts w:ascii="Arial Narrow" w:hAnsi="Arial Narrow" w:cs="Calibri"/>
                <w:i/>
                <w:iCs/>
                <w:color w:val="000000"/>
                <w:sz w:val="18"/>
                <w:szCs w:val="18"/>
              </w:rPr>
            </w:pPr>
            <w:r w:rsidRPr="003749DE">
              <w:rPr>
                <w:rFonts w:ascii="Arial Narrow" w:hAnsi="Arial Narrow" w:cs="Calibri"/>
                <w:i/>
                <w:iCs/>
                <w:color w:val="000000"/>
                <w:sz w:val="18"/>
                <w:szCs w:val="18"/>
              </w:rPr>
              <w:t xml:space="preserve">78.750 </w:t>
            </w:r>
          </w:p>
        </w:tc>
        <w:tc>
          <w:tcPr>
            <w:tcW w:w="851" w:type="dxa"/>
            <w:shd w:val="clear" w:color="000000" w:fill="D9D9D9"/>
            <w:vAlign w:val="center"/>
            <w:hideMark/>
          </w:tcPr>
          <w:p w:rsidR="007D716C" w:rsidRPr="003749DE" w:rsidRDefault="007D716C" w:rsidP="003749DE">
            <w:pPr>
              <w:jc w:val="right"/>
              <w:rPr>
                <w:rFonts w:ascii="Arial Narrow" w:hAnsi="Arial Narrow" w:cs="Calibri"/>
                <w:i/>
                <w:iCs/>
                <w:color w:val="000000"/>
                <w:sz w:val="18"/>
                <w:szCs w:val="18"/>
              </w:rPr>
            </w:pPr>
            <w:r w:rsidRPr="003749DE">
              <w:rPr>
                <w:rFonts w:ascii="Arial Narrow" w:hAnsi="Arial Narrow" w:cs="Calibri"/>
                <w:i/>
                <w:iCs/>
                <w:color w:val="000000"/>
                <w:sz w:val="18"/>
                <w:szCs w:val="18"/>
              </w:rPr>
              <w:t>4,5</w:t>
            </w:r>
          </w:p>
        </w:tc>
      </w:tr>
      <w:tr w:rsidR="007D716C" w:rsidRPr="003749DE" w:rsidTr="004C553A">
        <w:trPr>
          <w:trHeight w:val="322"/>
        </w:trPr>
        <w:tc>
          <w:tcPr>
            <w:tcW w:w="1985" w:type="dxa"/>
            <w:shd w:val="clear" w:color="000000" w:fill="D9D9D9"/>
            <w:vAlign w:val="center"/>
            <w:hideMark/>
          </w:tcPr>
          <w:p w:rsidR="007D716C" w:rsidRPr="003749DE" w:rsidRDefault="007D716C" w:rsidP="007D716C">
            <w:pPr>
              <w:rPr>
                <w:rFonts w:ascii="Arial Narrow" w:hAnsi="Arial Narrow" w:cs="Calibri"/>
                <w:i/>
                <w:iCs/>
                <w:color w:val="1F497D"/>
                <w:sz w:val="18"/>
                <w:szCs w:val="18"/>
              </w:rPr>
            </w:pPr>
            <w:r w:rsidRPr="003749DE">
              <w:rPr>
                <w:rFonts w:ascii="Arial Narrow" w:hAnsi="Arial Narrow" w:cs="Calibri"/>
                <w:b/>
                <w:bCs/>
                <w:color w:val="1F497D"/>
                <w:sz w:val="18"/>
                <w:szCs w:val="18"/>
              </w:rPr>
              <w:t> </w:t>
            </w:r>
            <w:r w:rsidRPr="003749DE">
              <w:rPr>
                <w:rFonts w:ascii="Arial Narrow" w:hAnsi="Arial Narrow" w:cs="Calibri"/>
                <w:i/>
                <w:iCs/>
                <w:color w:val="1F497D"/>
                <w:sz w:val="18"/>
                <w:szCs w:val="18"/>
              </w:rPr>
              <w:t>Altro</w:t>
            </w:r>
          </w:p>
        </w:tc>
        <w:tc>
          <w:tcPr>
            <w:tcW w:w="1113" w:type="dxa"/>
            <w:shd w:val="clear" w:color="000000" w:fill="E5E5E5"/>
            <w:vAlign w:val="center"/>
            <w:hideMark/>
          </w:tcPr>
          <w:p w:rsidR="007D716C" w:rsidRPr="003749DE" w:rsidRDefault="007D716C" w:rsidP="003749DE">
            <w:pPr>
              <w:jc w:val="right"/>
              <w:rPr>
                <w:rFonts w:ascii="Arial Narrow" w:hAnsi="Arial Narrow" w:cs="Calibri"/>
                <w:i/>
                <w:iCs/>
                <w:color w:val="000000"/>
                <w:sz w:val="18"/>
                <w:szCs w:val="18"/>
              </w:rPr>
            </w:pPr>
            <w:r w:rsidRPr="003749DE">
              <w:rPr>
                <w:rFonts w:ascii="Arial Narrow" w:hAnsi="Arial Narrow" w:cs="Calibri"/>
                <w:i/>
                <w:iCs/>
                <w:color w:val="000000"/>
                <w:sz w:val="18"/>
                <w:szCs w:val="18"/>
              </w:rPr>
              <w:t xml:space="preserve">16.106 </w:t>
            </w:r>
          </w:p>
        </w:tc>
        <w:tc>
          <w:tcPr>
            <w:tcW w:w="1011" w:type="dxa"/>
            <w:shd w:val="clear" w:color="000000" w:fill="E5E5E5"/>
            <w:vAlign w:val="center"/>
            <w:hideMark/>
          </w:tcPr>
          <w:p w:rsidR="007D716C" w:rsidRPr="003749DE" w:rsidRDefault="007D716C" w:rsidP="003749DE">
            <w:pPr>
              <w:jc w:val="right"/>
              <w:rPr>
                <w:rFonts w:ascii="Arial Narrow" w:hAnsi="Arial Narrow" w:cs="Calibri"/>
                <w:i/>
                <w:iCs/>
                <w:color w:val="000000"/>
                <w:sz w:val="18"/>
                <w:szCs w:val="18"/>
              </w:rPr>
            </w:pPr>
            <w:r w:rsidRPr="003749DE">
              <w:rPr>
                <w:rFonts w:ascii="Arial Narrow" w:hAnsi="Arial Narrow" w:cs="Calibri"/>
                <w:i/>
                <w:iCs/>
                <w:color w:val="000000"/>
                <w:sz w:val="18"/>
                <w:szCs w:val="18"/>
              </w:rPr>
              <w:t>1,0</w:t>
            </w:r>
          </w:p>
        </w:tc>
        <w:tc>
          <w:tcPr>
            <w:tcW w:w="1010" w:type="dxa"/>
            <w:shd w:val="clear" w:color="000000" w:fill="D9D9D9"/>
            <w:vAlign w:val="center"/>
            <w:hideMark/>
          </w:tcPr>
          <w:p w:rsidR="007D716C" w:rsidRPr="003749DE" w:rsidRDefault="007D716C" w:rsidP="003749DE">
            <w:pPr>
              <w:jc w:val="right"/>
              <w:rPr>
                <w:rFonts w:ascii="Arial Narrow" w:hAnsi="Arial Narrow" w:cs="Calibri"/>
                <w:i/>
                <w:iCs/>
                <w:color w:val="000000"/>
                <w:sz w:val="18"/>
                <w:szCs w:val="18"/>
              </w:rPr>
            </w:pPr>
            <w:r w:rsidRPr="003749DE">
              <w:rPr>
                <w:rFonts w:ascii="Arial Narrow" w:hAnsi="Arial Narrow" w:cs="Calibri"/>
                <w:i/>
                <w:iCs/>
                <w:color w:val="000000"/>
                <w:sz w:val="18"/>
                <w:szCs w:val="18"/>
              </w:rPr>
              <w:t xml:space="preserve">17.506 </w:t>
            </w:r>
          </w:p>
        </w:tc>
        <w:tc>
          <w:tcPr>
            <w:tcW w:w="1011" w:type="dxa"/>
            <w:shd w:val="clear" w:color="000000" w:fill="D9D9D9"/>
            <w:vAlign w:val="center"/>
            <w:hideMark/>
          </w:tcPr>
          <w:p w:rsidR="007D716C" w:rsidRPr="003749DE" w:rsidRDefault="007D716C" w:rsidP="003749DE">
            <w:pPr>
              <w:jc w:val="right"/>
              <w:rPr>
                <w:rFonts w:ascii="Arial Narrow" w:hAnsi="Arial Narrow" w:cs="Calibri"/>
                <w:i/>
                <w:iCs/>
                <w:color w:val="000000"/>
                <w:sz w:val="18"/>
                <w:szCs w:val="18"/>
              </w:rPr>
            </w:pPr>
            <w:r w:rsidRPr="003749DE">
              <w:rPr>
                <w:rFonts w:ascii="Arial Narrow" w:hAnsi="Arial Narrow" w:cs="Calibri"/>
                <w:i/>
                <w:iCs/>
                <w:color w:val="000000"/>
                <w:sz w:val="18"/>
                <w:szCs w:val="18"/>
              </w:rPr>
              <w:t>1,1</w:t>
            </w:r>
          </w:p>
        </w:tc>
        <w:tc>
          <w:tcPr>
            <w:tcW w:w="1010" w:type="dxa"/>
            <w:shd w:val="clear" w:color="000000" w:fill="E5E5E5"/>
            <w:vAlign w:val="center"/>
            <w:hideMark/>
          </w:tcPr>
          <w:p w:rsidR="007D716C" w:rsidRPr="003749DE" w:rsidRDefault="007D716C" w:rsidP="003749DE">
            <w:pPr>
              <w:jc w:val="right"/>
              <w:rPr>
                <w:rFonts w:ascii="Arial Narrow" w:hAnsi="Arial Narrow" w:cs="Calibri"/>
                <w:i/>
                <w:iCs/>
                <w:color w:val="000000"/>
                <w:sz w:val="18"/>
                <w:szCs w:val="18"/>
              </w:rPr>
            </w:pPr>
            <w:r w:rsidRPr="003749DE">
              <w:rPr>
                <w:rFonts w:ascii="Arial Narrow" w:hAnsi="Arial Narrow" w:cs="Calibri"/>
                <w:i/>
                <w:iCs/>
                <w:color w:val="000000"/>
                <w:sz w:val="18"/>
                <w:szCs w:val="18"/>
              </w:rPr>
              <w:t xml:space="preserve">15.937 </w:t>
            </w:r>
          </w:p>
        </w:tc>
        <w:tc>
          <w:tcPr>
            <w:tcW w:w="1011" w:type="dxa"/>
            <w:shd w:val="clear" w:color="000000" w:fill="E5E5E5"/>
            <w:vAlign w:val="center"/>
            <w:hideMark/>
          </w:tcPr>
          <w:p w:rsidR="007D716C" w:rsidRPr="003749DE" w:rsidRDefault="007D716C" w:rsidP="003749DE">
            <w:pPr>
              <w:jc w:val="right"/>
              <w:rPr>
                <w:rFonts w:ascii="Arial Narrow" w:hAnsi="Arial Narrow" w:cs="Calibri"/>
                <w:i/>
                <w:iCs/>
                <w:color w:val="000000"/>
                <w:sz w:val="18"/>
                <w:szCs w:val="18"/>
              </w:rPr>
            </w:pPr>
            <w:r w:rsidRPr="003749DE">
              <w:rPr>
                <w:rFonts w:ascii="Arial Narrow" w:hAnsi="Arial Narrow" w:cs="Calibri"/>
                <w:i/>
                <w:iCs/>
                <w:color w:val="000000"/>
                <w:sz w:val="18"/>
                <w:szCs w:val="18"/>
              </w:rPr>
              <w:t>0,9</w:t>
            </w:r>
          </w:p>
        </w:tc>
        <w:tc>
          <w:tcPr>
            <w:tcW w:w="921" w:type="dxa"/>
            <w:shd w:val="clear" w:color="000000" w:fill="D9D9D9"/>
            <w:vAlign w:val="center"/>
            <w:hideMark/>
          </w:tcPr>
          <w:p w:rsidR="007D716C" w:rsidRPr="003749DE" w:rsidRDefault="007D716C" w:rsidP="003749DE">
            <w:pPr>
              <w:jc w:val="right"/>
              <w:rPr>
                <w:rFonts w:ascii="Arial Narrow" w:hAnsi="Arial Narrow" w:cs="Calibri"/>
                <w:i/>
                <w:iCs/>
                <w:color w:val="000000"/>
                <w:sz w:val="18"/>
                <w:szCs w:val="18"/>
              </w:rPr>
            </w:pPr>
            <w:r w:rsidRPr="003749DE">
              <w:rPr>
                <w:rFonts w:ascii="Arial Narrow" w:hAnsi="Arial Narrow" w:cs="Calibri"/>
                <w:i/>
                <w:iCs/>
                <w:color w:val="000000"/>
                <w:sz w:val="18"/>
                <w:szCs w:val="18"/>
              </w:rPr>
              <w:t xml:space="preserve">16.040 </w:t>
            </w:r>
          </w:p>
        </w:tc>
        <w:tc>
          <w:tcPr>
            <w:tcW w:w="851" w:type="dxa"/>
            <w:shd w:val="clear" w:color="000000" w:fill="D9D9D9"/>
            <w:vAlign w:val="center"/>
            <w:hideMark/>
          </w:tcPr>
          <w:p w:rsidR="007D716C" w:rsidRPr="003749DE" w:rsidRDefault="007D716C" w:rsidP="003749DE">
            <w:pPr>
              <w:jc w:val="right"/>
              <w:rPr>
                <w:rFonts w:ascii="Arial Narrow" w:hAnsi="Arial Narrow" w:cs="Calibri"/>
                <w:i/>
                <w:iCs/>
                <w:color w:val="000000"/>
                <w:sz w:val="18"/>
                <w:szCs w:val="18"/>
              </w:rPr>
            </w:pPr>
            <w:r w:rsidRPr="003749DE">
              <w:rPr>
                <w:rFonts w:ascii="Arial Narrow" w:hAnsi="Arial Narrow" w:cs="Calibri"/>
                <w:i/>
                <w:iCs/>
                <w:color w:val="000000"/>
                <w:sz w:val="18"/>
                <w:szCs w:val="18"/>
              </w:rPr>
              <w:t>0,9</w:t>
            </w:r>
          </w:p>
        </w:tc>
      </w:tr>
      <w:tr w:rsidR="008D1DCB" w:rsidRPr="003749DE" w:rsidTr="004C553A">
        <w:trPr>
          <w:trHeight w:val="322"/>
        </w:trPr>
        <w:tc>
          <w:tcPr>
            <w:tcW w:w="1985" w:type="dxa"/>
            <w:shd w:val="clear" w:color="000000" w:fill="D9D9D9"/>
            <w:vAlign w:val="center"/>
            <w:hideMark/>
          </w:tcPr>
          <w:p w:rsidR="003749DE" w:rsidRPr="003749DE" w:rsidRDefault="003749DE" w:rsidP="003749DE">
            <w:pPr>
              <w:rPr>
                <w:rFonts w:ascii="Arial Narrow" w:hAnsi="Arial Narrow" w:cs="Calibri"/>
                <w:b/>
                <w:bCs/>
                <w:color w:val="1F497D"/>
                <w:sz w:val="18"/>
                <w:szCs w:val="18"/>
              </w:rPr>
            </w:pPr>
            <w:r w:rsidRPr="003749DE">
              <w:rPr>
                <w:rFonts w:ascii="Arial Narrow" w:hAnsi="Arial Narrow" w:cs="Calibri"/>
                <w:b/>
                <w:bCs/>
                <w:color w:val="1F497D"/>
                <w:sz w:val="18"/>
                <w:szCs w:val="18"/>
              </w:rPr>
              <w:t xml:space="preserve">Attività illegali </w:t>
            </w:r>
          </w:p>
        </w:tc>
        <w:tc>
          <w:tcPr>
            <w:tcW w:w="1113" w:type="dxa"/>
            <w:shd w:val="clear" w:color="000000" w:fill="E5E5E5"/>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 xml:space="preserve">16.464 </w:t>
            </w:r>
          </w:p>
        </w:tc>
        <w:tc>
          <w:tcPr>
            <w:tcW w:w="1011" w:type="dxa"/>
            <w:shd w:val="clear" w:color="000000" w:fill="E5E5E5"/>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1,0</w:t>
            </w:r>
          </w:p>
        </w:tc>
        <w:tc>
          <w:tcPr>
            <w:tcW w:w="1010" w:type="dxa"/>
            <w:shd w:val="clear" w:color="000000" w:fill="D9D9D9"/>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 xml:space="preserve">17.233 </w:t>
            </w:r>
          </w:p>
        </w:tc>
        <w:tc>
          <w:tcPr>
            <w:tcW w:w="1011" w:type="dxa"/>
            <w:shd w:val="clear" w:color="000000" w:fill="D9D9D9"/>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1,0</w:t>
            </w:r>
          </w:p>
        </w:tc>
        <w:tc>
          <w:tcPr>
            <w:tcW w:w="1010" w:type="dxa"/>
            <w:shd w:val="clear" w:color="000000" w:fill="E5E5E5"/>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 xml:space="preserve">18.078 </w:t>
            </w:r>
          </w:p>
        </w:tc>
        <w:tc>
          <w:tcPr>
            <w:tcW w:w="1011" w:type="dxa"/>
            <w:shd w:val="clear" w:color="000000" w:fill="E5E5E5"/>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1,1</w:t>
            </w:r>
          </w:p>
        </w:tc>
        <w:tc>
          <w:tcPr>
            <w:tcW w:w="921" w:type="dxa"/>
            <w:shd w:val="clear" w:color="000000" w:fill="D9D9D9"/>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 xml:space="preserve">18.896 </w:t>
            </w:r>
          </w:p>
        </w:tc>
        <w:tc>
          <w:tcPr>
            <w:tcW w:w="851" w:type="dxa"/>
            <w:shd w:val="clear" w:color="000000" w:fill="D9D9D9"/>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1,1</w:t>
            </w:r>
          </w:p>
        </w:tc>
      </w:tr>
      <w:tr w:rsidR="008D1DCB" w:rsidRPr="003749DE" w:rsidTr="004C553A">
        <w:trPr>
          <w:trHeight w:val="322"/>
        </w:trPr>
        <w:tc>
          <w:tcPr>
            <w:tcW w:w="1985" w:type="dxa"/>
            <w:shd w:val="clear" w:color="000000" w:fill="D9D9D9"/>
            <w:vAlign w:val="center"/>
            <w:hideMark/>
          </w:tcPr>
          <w:p w:rsidR="003749DE" w:rsidRPr="003749DE" w:rsidRDefault="003749DE" w:rsidP="003749DE">
            <w:pPr>
              <w:rPr>
                <w:rFonts w:ascii="Arial Narrow" w:hAnsi="Arial Narrow" w:cs="Calibri"/>
                <w:b/>
                <w:bCs/>
                <w:color w:val="1F497D"/>
                <w:sz w:val="18"/>
                <w:szCs w:val="18"/>
              </w:rPr>
            </w:pPr>
            <w:r w:rsidRPr="003749DE">
              <w:rPr>
                <w:rFonts w:ascii="Arial Narrow" w:hAnsi="Arial Narrow" w:cs="Calibri"/>
                <w:b/>
                <w:bCs/>
                <w:color w:val="1F497D"/>
                <w:sz w:val="18"/>
                <w:szCs w:val="18"/>
              </w:rPr>
              <w:t>Economia non osservata</w:t>
            </w:r>
          </w:p>
        </w:tc>
        <w:tc>
          <w:tcPr>
            <w:tcW w:w="1113" w:type="dxa"/>
            <w:shd w:val="clear" w:color="000000" w:fill="E5E5E5"/>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 xml:space="preserve">212.022 </w:t>
            </w:r>
          </w:p>
        </w:tc>
        <w:tc>
          <w:tcPr>
            <w:tcW w:w="1011" w:type="dxa"/>
            <w:shd w:val="clear" w:color="000000" w:fill="E5E5E5"/>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13,0</w:t>
            </w:r>
          </w:p>
        </w:tc>
        <w:tc>
          <w:tcPr>
            <w:tcW w:w="1010" w:type="dxa"/>
            <w:shd w:val="clear" w:color="000000" w:fill="D9D9D9"/>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 xml:space="preserve">208.379 </w:t>
            </w:r>
          </w:p>
        </w:tc>
        <w:tc>
          <w:tcPr>
            <w:tcW w:w="1011" w:type="dxa"/>
            <w:shd w:val="clear" w:color="000000" w:fill="D9D9D9"/>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12,6</w:t>
            </w:r>
          </w:p>
        </w:tc>
        <w:tc>
          <w:tcPr>
            <w:tcW w:w="1010" w:type="dxa"/>
            <w:shd w:val="clear" w:color="000000" w:fill="E5E5E5"/>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 xml:space="preserve">207.696 </w:t>
            </w:r>
          </w:p>
        </w:tc>
        <w:tc>
          <w:tcPr>
            <w:tcW w:w="1011" w:type="dxa"/>
            <w:shd w:val="clear" w:color="000000" w:fill="E5E5E5"/>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12,2</w:t>
            </w:r>
          </w:p>
        </w:tc>
        <w:tc>
          <w:tcPr>
            <w:tcW w:w="921" w:type="dxa"/>
            <w:shd w:val="clear" w:color="000000" w:fill="D9D9D9"/>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 xml:space="preserve">210.852 </w:t>
            </w:r>
          </w:p>
        </w:tc>
        <w:tc>
          <w:tcPr>
            <w:tcW w:w="851" w:type="dxa"/>
            <w:shd w:val="clear" w:color="000000" w:fill="D9D9D9"/>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12,1</w:t>
            </w:r>
          </w:p>
        </w:tc>
      </w:tr>
      <w:tr w:rsidR="008D1DCB" w:rsidRPr="003749DE" w:rsidTr="00225942">
        <w:trPr>
          <w:trHeight w:val="322"/>
        </w:trPr>
        <w:tc>
          <w:tcPr>
            <w:tcW w:w="1985" w:type="dxa"/>
            <w:shd w:val="clear" w:color="000000" w:fill="D9D9D9"/>
            <w:vAlign w:val="center"/>
            <w:hideMark/>
          </w:tcPr>
          <w:p w:rsidR="003749DE" w:rsidRPr="003749DE" w:rsidRDefault="003749DE" w:rsidP="003749DE">
            <w:pPr>
              <w:rPr>
                <w:rFonts w:ascii="Arial Narrow" w:hAnsi="Arial Narrow" w:cs="Calibri"/>
                <w:b/>
                <w:bCs/>
                <w:color w:val="1F497D"/>
                <w:sz w:val="18"/>
                <w:szCs w:val="18"/>
              </w:rPr>
            </w:pPr>
            <w:r w:rsidRPr="003749DE">
              <w:rPr>
                <w:rFonts w:ascii="Arial Narrow" w:hAnsi="Arial Narrow" w:cs="Calibri"/>
                <w:b/>
                <w:bCs/>
                <w:color w:val="1F497D"/>
                <w:sz w:val="18"/>
                <w:szCs w:val="18"/>
              </w:rPr>
              <w:t>Valore aggiunto</w:t>
            </w:r>
          </w:p>
        </w:tc>
        <w:tc>
          <w:tcPr>
            <w:tcW w:w="1113" w:type="dxa"/>
            <w:shd w:val="clear" w:color="000000" w:fill="E5E5E5"/>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 xml:space="preserve">1.462.745 </w:t>
            </w:r>
          </w:p>
        </w:tc>
        <w:tc>
          <w:tcPr>
            <w:tcW w:w="1011" w:type="dxa"/>
            <w:shd w:val="clear" w:color="000000" w:fill="E5E5E5"/>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w:t>
            </w:r>
          </w:p>
        </w:tc>
        <w:tc>
          <w:tcPr>
            <w:tcW w:w="1010" w:type="dxa"/>
            <w:shd w:val="clear" w:color="000000" w:fill="D9D9D9"/>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 xml:space="preserve">1.488.049 </w:t>
            </w:r>
          </w:p>
        </w:tc>
        <w:tc>
          <w:tcPr>
            <w:tcW w:w="1011" w:type="dxa"/>
            <w:shd w:val="clear" w:color="000000" w:fill="D9D9D9"/>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w:t>
            </w:r>
          </w:p>
        </w:tc>
        <w:tc>
          <w:tcPr>
            <w:tcW w:w="1010" w:type="dxa"/>
            <w:tcBorders>
              <w:bottom w:val="single" w:sz="4" w:space="0" w:color="FFFFFF" w:themeColor="background1"/>
            </w:tcBorders>
            <w:shd w:val="clear" w:color="000000" w:fill="E5E5E5"/>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 xml:space="preserve">1.522.917 </w:t>
            </w:r>
          </w:p>
        </w:tc>
        <w:tc>
          <w:tcPr>
            <w:tcW w:w="1011" w:type="dxa"/>
            <w:tcBorders>
              <w:bottom w:val="single" w:sz="4" w:space="0" w:color="FFFFFF" w:themeColor="background1"/>
            </w:tcBorders>
            <w:shd w:val="clear" w:color="000000" w:fill="E5E5E5"/>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w:t>
            </w:r>
          </w:p>
        </w:tc>
        <w:tc>
          <w:tcPr>
            <w:tcW w:w="921" w:type="dxa"/>
            <w:shd w:val="clear" w:color="000000" w:fill="D9D9D9"/>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 xml:space="preserve">1.557.833 </w:t>
            </w:r>
          </w:p>
        </w:tc>
        <w:tc>
          <w:tcPr>
            <w:tcW w:w="851" w:type="dxa"/>
            <w:shd w:val="clear" w:color="000000" w:fill="D9D9D9"/>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w:t>
            </w:r>
          </w:p>
        </w:tc>
      </w:tr>
      <w:tr w:rsidR="008D1DCB" w:rsidRPr="003749DE" w:rsidTr="00225942">
        <w:trPr>
          <w:trHeight w:val="322"/>
        </w:trPr>
        <w:tc>
          <w:tcPr>
            <w:tcW w:w="1985" w:type="dxa"/>
            <w:shd w:val="clear" w:color="000000" w:fill="D9D9D9"/>
            <w:vAlign w:val="center"/>
            <w:hideMark/>
          </w:tcPr>
          <w:p w:rsidR="003749DE" w:rsidRPr="003749DE" w:rsidRDefault="003749DE" w:rsidP="003749DE">
            <w:pPr>
              <w:rPr>
                <w:rFonts w:ascii="Arial Narrow" w:hAnsi="Arial Narrow" w:cs="Calibri"/>
                <w:b/>
                <w:bCs/>
                <w:color w:val="1F497D"/>
                <w:sz w:val="18"/>
                <w:szCs w:val="18"/>
              </w:rPr>
            </w:pPr>
            <w:r w:rsidRPr="003749DE">
              <w:rPr>
                <w:rFonts w:ascii="Arial Narrow" w:hAnsi="Arial Narrow" w:cs="Calibri"/>
                <w:b/>
                <w:bCs/>
                <w:color w:val="1F497D"/>
                <w:sz w:val="18"/>
                <w:szCs w:val="18"/>
              </w:rPr>
              <w:t>PIL</w:t>
            </w:r>
          </w:p>
        </w:tc>
        <w:tc>
          <w:tcPr>
            <w:tcW w:w="1113" w:type="dxa"/>
            <w:shd w:val="clear" w:color="000000" w:fill="E5E5E5"/>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 xml:space="preserve">1.627.406 </w:t>
            </w:r>
          </w:p>
        </w:tc>
        <w:tc>
          <w:tcPr>
            <w:tcW w:w="1011" w:type="dxa"/>
            <w:shd w:val="clear" w:color="000000" w:fill="E5E5E5"/>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w:t>
            </w:r>
          </w:p>
        </w:tc>
        <w:tc>
          <w:tcPr>
            <w:tcW w:w="1010" w:type="dxa"/>
            <w:shd w:val="clear" w:color="000000" w:fill="D9D9D9"/>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 xml:space="preserve">1.655.355 </w:t>
            </w:r>
          </w:p>
        </w:tc>
        <w:tc>
          <w:tcPr>
            <w:tcW w:w="1011" w:type="dxa"/>
            <w:shd w:val="clear" w:color="000000" w:fill="D9D9D9"/>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w:t>
            </w:r>
          </w:p>
        </w:tc>
        <w:tc>
          <w:tcPr>
            <w:tcW w:w="1010" w:type="dxa"/>
            <w:shd w:val="clear" w:color="000000" w:fill="E5E5E5"/>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 xml:space="preserve">1.695.590 </w:t>
            </w:r>
          </w:p>
        </w:tc>
        <w:tc>
          <w:tcPr>
            <w:tcW w:w="1011" w:type="dxa"/>
            <w:shd w:val="clear" w:color="000000" w:fill="E5E5E5"/>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w:t>
            </w:r>
          </w:p>
        </w:tc>
        <w:tc>
          <w:tcPr>
            <w:tcW w:w="921" w:type="dxa"/>
            <w:shd w:val="clear" w:color="000000" w:fill="D9D9D9"/>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 xml:space="preserve">1.736.602 </w:t>
            </w:r>
          </w:p>
        </w:tc>
        <w:tc>
          <w:tcPr>
            <w:tcW w:w="851" w:type="dxa"/>
            <w:shd w:val="clear" w:color="000000" w:fill="D9D9D9"/>
            <w:vAlign w:val="center"/>
            <w:hideMark/>
          </w:tcPr>
          <w:p w:rsidR="003749DE" w:rsidRPr="003749DE" w:rsidRDefault="003749DE" w:rsidP="003749DE">
            <w:pPr>
              <w:jc w:val="right"/>
              <w:rPr>
                <w:rFonts w:ascii="Arial Narrow" w:hAnsi="Arial Narrow" w:cs="Calibri"/>
                <w:color w:val="000000"/>
                <w:sz w:val="18"/>
                <w:szCs w:val="18"/>
              </w:rPr>
            </w:pPr>
            <w:r w:rsidRPr="003749DE">
              <w:rPr>
                <w:rFonts w:ascii="Arial Narrow" w:hAnsi="Arial Narrow" w:cs="Calibri"/>
                <w:color w:val="000000"/>
                <w:sz w:val="18"/>
                <w:szCs w:val="18"/>
              </w:rPr>
              <w:t>-</w:t>
            </w:r>
          </w:p>
        </w:tc>
      </w:tr>
    </w:tbl>
    <w:p w:rsidR="007D716C" w:rsidRDefault="00D93F89" w:rsidP="00A76266">
      <w:pPr>
        <w:pStyle w:val="Default"/>
        <w:spacing w:after="120"/>
        <w:jc w:val="both"/>
        <w:rPr>
          <w:rFonts w:ascii="Arial" w:hAnsi="Arial" w:cs="Arial"/>
          <w:b/>
          <w:color w:val="1F497D" w:themeColor="text2"/>
          <w:sz w:val="26"/>
          <w:szCs w:val="26"/>
        </w:rPr>
      </w:pPr>
      <w:r>
        <w:rPr>
          <w:rFonts w:ascii="Arial" w:hAnsi="Arial" w:cs="Arial"/>
          <w:b/>
          <w:color w:val="1F497D" w:themeColor="text2"/>
          <w:sz w:val="26"/>
          <w:szCs w:val="26"/>
        </w:rPr>
        <w:fldChar w:fldCharType="end"/>
      </w:r>
    </w:p>
    <w:p w:rsidR="00934608" w:rsidRDefault="00934608" w:rsidP="00A76266">
      <w:pPr>
        <w:pStyle w:val="Default"/>
        <w:spacing w:after="120"/>
        <w:jc w:val="both"/>
        <w:rPr>
          <w:rFonts w:ascii="Arial" w:hAnsi="Arial" w:cs="Arial"/>
          <w:b/>
          <w:color w:val="1F497D" w:themeColor="text2"/>
          <w:sz w:val="26"/>
          <w:szCs w:val="26"/>
        </w:rPr>
      </w:pPr>
    </w:p>
    <w:p w:rsidR="0097132C" w:rsidRPr="00EA1522" w:rsidRDefault="00C70497" w:rsidP="00A76266">
      <w:pPr>
        <w:pStyle w:val="Default"/>
        <w:spacing w:after="120"/>
        <w:jc w:val="both"/>
        <w:rPr>
          <w:rFonts w:ascii="Arial" w:hAnsi="Arial" w:cs="Arial"/>
          <w:b/>
          <w:color w:val="1F497D" w:themeColor="text2"/>
          <w:sz w:val="26"/>
          <w:szCs w:val="26"/>
        </w:rPr>
      </w:pPr>
      <w:r>
        <w:rPr>
          <w:rFonts w:ascii="Arial" w:hAnsi="Arial" w:cs="Arial"/>
          <w:b/>
          <w:color w:val="1F497D" w:themeColor="text2"/>
          <w:sz w:val="26"/>
          <w:szCs w:val="26"/>
        </w:rPr>
        <w:t xml:space="preserve">In leggero aumento il peso della </w:t>
      </w:r>
      <w:r w:rsidR="00431A2A">
        <w:rPr>
          <w:rFonts w:ascii="Arial" w:hAnsi="Arial" w:cs="Arial"/>
          <w:b/>
          <w:color w:val="1F497D" w:themeColor="text2"/>
          <w:sz w:val="26"/>
          <w:szCs w:val="26"/>
        </w:rPr>
        <w:t>s</w:t>
      </w:r>
      <w:r w:rsidR="00AE3586">
        <w:rPr>
          <w:rFonts w:ascii="Arial" w:hAnsi="Arial" w:cs="Arial"/>
          <w:b/>
          <w:color w:val="1F497D" w:themeColor="text2"/>
          <w:sz w:val="26"/>
          <w:szCs w:val="26"/>
        </w:rPr>
        <w:t xml:space="preserve">otto-dichiarazione </w:t>
      </w:r>
    </w:p>
    <w:p w:rsidR="0025456B" w:rsidRDefault="00D247EA" w:rsidP="0097132C">
      <w:pPr>
        <w:spacing w:after="120"/>
        <w:ind w:right="56"/>
        <w:jc w:val="both"/>
        <w:rPr>
          <w:rFonts w:ascii="Arial" w:hAnsi="Arial" w:cs="Arial"/>
          <w:sz w:val="22"/>
          <w:szCs w:val="22"/>
        </w:rPr>
      </w:pPr>
      <w:r w:rsidRPr="00D247EA">
        <w:rPr>
          <w:rFonts w:ascii="Arial" w:hAnsi="Arial" w:cs="Arial"/>
          <w:sz w:val="22"/>
          <w:szCs w:val="22"/>
        </w:rPr>
        <w:t>La composizione dell’economia non osservata</w:t>
      </w:r>
      <w:r w:rsidR="0025456B">
        <w:rPr>
          <w:rFonts w:ascii="Arial" w:hAnsi="Arial" w:cs="Arial"/>
          <w:sz w:val="22"/>
          <w:szCs w:val="22"/>
        </w:rPr>
        <w:t>, ovvero il peso percentuale che ciascuna componente ha sul totale dell’economia non osservata,</w:t>
      </w:r>
      <w:r w:rsidRPr="00D247EA">
        <w:rPr>
          <w:rFonts w:ascii="Arial" w:hAnsi="Arial" w:cs="Arial"/>
          <w:sz w:val="22"/>
          <w:szCs w:val="22"/>
        </w:rPr>
        <w:t xml:space="preserve"> registra modeste variazioni </w:t>
      </w:r>
      <w:r>
        <w:rPr>
          <w:rFonts w:ascii="Arial" w:hAnsi="Arial" w:cs="Arial"/>
          <w:sz w:val="22"/>
          <w:szCs w:val="22"/>
        </w:rPr>
        <w:t>nell’arco dei quattro anni analizzati</w:t>
      </w:r>
      <w:r w:rsidR="0025456B">
        <w:rPr>
          <w:rFonts w:ascii="Arial" w:hAnsi="Arial" w:cs="Arial"/>
          <w:sz w:val="22"/>
          <w:szCs w:val="22"/>
        </w:rPr>
        <w:t>.</w:t>
      </w:r>
    </w:p>
    <w:p w:rsidR="0025456B" w:rsidRDefault="0025456B" w:rsidP="0025456B">
      <w:pPr>
        <w:spacing w:after="120"/>
        <w:ind w:right="56"/>
        <w:jc w:val="both"/>
        <w:rPr>
          <w:rFonts w:ascii="Arial" w:hAnsi="Arial" w:cs="Arial"/>
          <w:sz w:val="22"/>
          <w:szCs w:val="22"/>
        </w:rPr>
      </w:pPr>
      <w:r w:rsidRPr="00D247EA">
        <w:rPr>
          <w:rFonts w:ascii="Arial" w:hAnsi="Arial" w:cs="Arial"/>
          <w:sz w:val="22"/>
          <w:szCs w:val="22"/>
        </w:rPr>
        <w:t xml:space="preserve">La correzione della sotto-dichiarazione </w:t>
      </w:r>
      <w:r w:rsidR="00C96D94">
        <w:rPr>
          <w:rFonts w:ascii="Arial" w:hAnsi="Arial" w:cs="Arial"/>
          <w:sz w:val="22"/>
          <w:szCs w:val="22"/>
        </w:rPr>
        <w:t xml:space="preserve">del valore aggiunto </w:t>
      </w:r>
      <w:r>
        <w:rPr>
          <w:rFonts w:ascii="Arial" w:hAnsi="Arial" w:cs="Arial"/>
          <w:sz w:val="22"/>
          <w:szCs w:val="22"/>
        </w:rPr>
        <w:t>risulta essere la componente più rilevante</w:t>
      </w:r>
      <w:r w:rsidR="0048670F">
        <w:rPr>
          <w:rFonts w:ascii="Arial" w:hAnsi="Arial" w:cs="Arial"/>
          <w:sz w:val="22"/>
          <w:szCs w:val="22"/>
        </w:rPr>
        <w:t xml:space="preserve"> in termini percentuali</w:t>
      </w:r>
      <w:r>
        <w:rPr>
          <w:rFonts w:ascii="Arial" w:hAnsi="Arial" w:cs="Arial"/>
          <w:sz w:val="22"/>
          <w:szCs w:val="22"/>
        </w:rPr>
        <w:t xml:space="preserve">: nel 2017 </w:t>
      </w:r>
      <w:r w:rsidRPr="00D247EA">
        <w:rPr>
          <w:rFonts w:ascii="Arial" w:hAnsi="Arial" w:cs="Arial"/>
          <w:sz w:val="22"/>
          <w:szCs w:val="22"/>
        </w:rPr>
        <w:t xml:space="preserve">pesa </w:t>
      </w:r>
      <w:r>
        <w:rPr>
          <w:rFonts w:ascii="Arial" w:hAnsi="Arial" w:cs="Arial"/>
          <w:sz w:val="22"/>
          <w:szCs w:val="22"/>
        </w:rPr>
        <w:t xml:space="preserve">il </w:t>
      </w:r>
      <w:r w:rsidRPr="00D247EA">
        <w:rPr>
          <w:rFonts w:ascii="Arial" w:hAnsi="Arial" w:cs="Arial"/>
          <w:sz w:val="22"/>
          <w:szCs w:val="22"/>
        </w:rPr>
        <w:t>4</w:t>
      </w:r>
      <w:r>
        <w:rPr>
          <w:rFonts w:ascii="Arial" w:hAnsi="Arial" w:cs="Arial"/>
          <w:sz w:val="22"/>
          <w:szCs w:val="22"/>
        </w:rPr>
        <w:t>6</w:t>
      </w:r>
      <w:r w:rsidRPr="00D247EA">
        <w:rPr>
          <w:rFonts w:ascii="Arial" w:hAnsi="Arial" w:cs="Arial"/>
          <w:sz w:val="22"/>
          <w:szCs w:val="22"/>
        </w:rPr>
        <w:t>,</w:t>
      </w:r>
      <w:r>
        <w:rPr>
          <w:rFonts w:ascii="Arial" w:hAnsi="Arial" w:cs="Arial"/>
          <w:sz w:val="22"/>
          <w:szCs w:val="22"/>
        </w:rPr>
        <w:t>1</w:t>
      </w:r>
      <w:r w:rsidRPr="00D247EA">
        <w:rPr>
          <w:rFonts w:ascii="Arial" w:hAnsi="Arial" w:cs="Arial"/>
          <w:sz w:val="22"/>
          <w:szCs w:val="22"/>
        </w:rPr>
        <w:t xml:space="preserve">% </w:t>
      </w:r>
      <w:r>
        <w:rPr>
          <w:rFonts w:ascii="Arial" w:hAnsi="Arial" w:cs="Arial"/>
          <w:sz w:val="22"/>
          <w:szCs w:val="22"/>
        </w:rPr>
        <w:t>(+0,3 punti percentuali rispetto all’anno precedente).</w:t>
      </w:r>
    </w:p>
    <w:p w:rsidR="00C96D94" w:rsidRDefault="00C96D94" w:rsidP="00C96D94">
      <w:pPr>
        <w:spacing w:after="120"/>
        <w:ind w:right="56"/>
        <w:jc w:val="both"/>
        <w:rPr>
          <w:rFonts w:ascii="Arial" w:hAnsi="Arial" w:cs="Arial"/>
          <w:sz w:val="22"/>
          <w:szCs w:val="22"/>
        </w:rPr>
      </w:pPr>
      <w:r>
        <w:rPr>
          <w:rFonts w:ascii="Arial" w:hAnsi="Arial" w:cs="Arial"/>
          <w:sz w:val="22"/>
          <w:szCs w:val="22"/>
        </w:rPr>
        <w:t>I</w:t>
      </w:r>
      <w:r w:rsidRPr="00D247EA">
        <w:rPr>
          <w:rFonts w:ascii="Arial" w:hAnsi="Arial" w:cs="Arial"/>
          <w:sz w:val="22"/>
          <w:szCs w:val="22"/>
        </w:rPr>
        <w:t>l</w:t>
      </w:r>
      <w:r w:rsidR="00710108">
        <w:rPr>
          <w:rFonts w:ascii="Arial" w:hAnsi="Arial" w:cs="Arial"/>
          <w:sz w:val="22"/>
          <w:szCs w:val="22"/>
        </w:rPr>
        <w:t xml:space="preserve"> </w:t>
      </w:r>
      <w:r w:rsidRPr="00D247EA">
        <w:rPr>
          <w:rFonts w:ascii="Arial" w:hAnsi="Arial" w:cs="Arial"/>
          <w:sz w:val="22"/>
          <w:szCs w:val="22"/>
        </w:rPr>
        <w:t xml:space="preserve">valore aggiunto </w:t>
      </w:r>
      <w:r>
        <w:rPr>
          <w:rFonts w:ascii="Arial" w:hAnsi="Arial" w:cs="Arial"/>
          <w:sz w:val="22"/>
          <w:szCs w:val="22"/>
        </w:rPr>
        <w:t>generato d</w:t>
      </w:r>
      <w:r w:rsidRPr="00D247EA">
        <w:rPr>
          <w:rFonts w:ascii="Arial" w:hAnsi="Arial" w:cs="Arial"/>
          <w:sz w:val="22"/>
          <w:szCs w:val="22"/>
        </w:rPr>
        <w:t xml:space="preserve">all’impiego di lavoro irregolare </w:t>
      </w:r>
      <w:r>
        <w:rPr>
          <w:rFonts w:ascii="Arial" w:hAnsi="Arial" w:cs="Arial"/>
          <w:sz w:val="22"/>
          <w:szCs w:val="22"/>
        </w:rPr>
        <w:t>costituisce la seconda componente in termini di peso sul totale, attestandosi nel 2017 a</w:t>
      </w:r>
      <w:r w:rsidRPr="00D247EA">
        <w:rPr>
          <w:rFonts w:ascii="Arial" w:hAnsi="Arial" w:cs="Arial"/>
          <w:sz w:val="22"/>
          <w:szCs w:val="22"/>
        </w:rPr>
        <w:t>l 37,</w:t>
      </w:r>
      <w:r>
        <w:rPr>
          <w:rFonts w:ascii="Arial" w:hAnsi="Arial" w:cs="Arial"/>
          <w:sz w:val="22"/>
          <w:szCs w:val="22"/>
        </w:rPr>
        <w:t>3</w:t>
      </w:r>
      <w:r w:rsidRPr="00D247EA">
        <w:rPr>
          <w:rFonts w:ascii="Arial" w:hAnsi="Arial" w:cs="Arial"/>
          <w:sz w:val="22"/>
          <w:szCs w:val="22"/>
        </w:rPr>
        <w:t>%</w:t>
      </w:r>
      <w:r>
        <w:rPr>
          <w:rFonts w:ascii="Arial" w:hAnsi="Arial" w:cs="Arial"/>
          <w:sz w:val="22"/>
          <w:szCs w:val="22"/>
        </w:rPr>
        <w:t xml:space="preserve"> (-0,5 punti percentuali rispetto al 2016). Si evidenzia una tendenza al calo del peso di questa componente dal 2014, quando si è registrato un valore pari a 38,2%.</w:t>
      </w:r>
    </w:p>
    <w:p w:rsidR="00C96D94" w:rsidRDefault="00D247EA" w:rsidP="0097132C">
      <w:pPr>
        <w:spacing w:after="120"/>
        <w:ind w:right="56"/>
        <w:jc w:val="both"/>
        <w:rPr>
          <w:rFonts w:ascii="Arial" w:hAnsi="Arial" w:cs="Arial"/>
          <w:sz w:val="22"/>
          <w:szCs w:val="22"/>
        </w:rPr>
      </w:pPr>
      <w:r w:rsidRPr="00D247EA">
        <w:rPr>
          <w:rFonts w:ascii="Arial" w:hAnsi="Arial" w:cs="Arial"/>
          <w:sz w:val="22"/>
          <w:szCs w:val="22"/>
        </w:rPr>
        <w:t xml:space="preserve">L’incidenza delle altre componenti </w:t>
      </w:r>
      <w:r w:rsidR="00C96D94">
        <w:rPr>
          <w:rFonts w:ascii="Arial" w:hAnsi="Arial" w:cs="Arial"/>
          <w:sz w:val="22"/>
          <w:szCs w:val="22"/>
        </w:rPr>
        <w:t xml:space="preserve">dell’economia sommersa </w:t>
      </w:r>
      <w:r w:rsidRPr="00D247EA">
        <w:rPr>
          <w:rFonts w:ascii="Arial" w:hAnsi="Arial" w:cs="Arial"/>
          <w:sz w:val="22"/>
          <w:szCs w:val="22"/>
        </w:rPr>
        <w:t>(mance, fitti in nero e integrazione domanda-offerta) si attesta al</w:t>
      </w:r>
      <w:r>
        <w:rPr>
          <w:rFonts w:ascii="Arial" w:hAnsi="Arial" w:cs="Arial"/>
          <w:sz w:val="22"/>
          <w:szCs w:val="22"/>
        </w:rPr>
        <w:t>7,6</w:t>
      </w:r>
      <w:r w:rsidRPr="00D247EA">
        <w:rPr>
          <w:rFonts w:ascii="Arial" w:hAnsi="Arial" w:cs="Arial"/>
          <w:sz w:val="22"/>
          <w:szCs w:val="22"/>
        </w:rPr>
        <w:t xml:space="preserve">%, </w:t>
      </w:r>
      <w:r>
        <w:rPr>
          <w:rFonts w:ascii="Arial" w:hAnsi="Arial" w:cs="Arial"/>
          <w:sz w:val="22"/>
          <w:szCs w:val="22"/>
        </w:rPr>
        <w:t>rimanendo sostanzialmente stabile rispetto al 2016</w:t>
      </w:r>
      <w:r w:rsidR="00C96D94">
        <w:rPr>
          <w:rFonts w:ascii="Arial" w:hAnsi="Arial" w:cs="Arial"/>
          <w:sz w:val="22"/>
          <w:szCs w:val="22"/>
        </w:rPr>
        <w:t>.</w:t>
      </w:r>
    </w:p>
    <w:p w:rsidR="0097132C" w:rsidRDefault="00C96D94" w:rsidP="0097132C">
      <w:pPr>
        <w:spacing w:after="120"/>
        <w:ind w:right="56"/>
        <w:jc w:val="both"/>
        <w:rPr>
          <w:rFonts w:ascii="Arial" w:hAnsi="Arial" w:cs="Arial"/>
          <w:sz w:val="22"/>
          <w:szCs w:val="22"/>
        </w:rPr>
      </w:pPr>
      <w:r>
        <w:rPr>
          <w:rFonts w:ascii="Arial" w:hAnsi="Arial" w:cs="Arial"/>
          <w:sz w:val="22"/>
          <w:szCs w:val="22"/>
        </w:rPr>
        <w:t>I</w:t>
      </w:r>
      <w:r w:rsidR="00D247EA" w:rsidRPr="00D247EA">
        <w:rPr>
          <w:rFonts w:ascii="Arial" w:hAnsi="Arial" w:cs="Arial"/>
          <w:sz w:val="22"/>
          <w:szCs w:val="22"/>
        </w:rPr>
        <w:t xml:space="preserve">l peso delle attività illegali </w:t>
      </w:r>
      <w:r w:rsidR="0048670F">
        <w:rPr>
          <w:rFonts w:ascii="Arial" w:hAnsi="Arial" w:cs="Arial"/>
          <w:sz w:val="22"/>
          <w:szCs w:val="22"/>
        </w:rPr>
        <w:t xml:space="preserve">invece presenta un andamento crescente dal 2014. In particolare, </w:t>
      </w:r>
      <w:r w:rsidR="00D247EA" w:rsidRPr="00D247EA">
        <w:rPr>
          <w:rFonts w:ascii="Arial" w:hAnsi="Arial" w:cs="Arial"/>
          <w:sz w:val="22"/>
          <w:szCs w:val="22"/>
        </w:rPr>
        <w:t>aumenta di 0,</w:t>
      </w:r>
      <w:r w:rsidR="00D247EA">
        <w:rPr>
          <w:rFonts w:ascii="Arial" w:hAnsi="Arial" w:cs="Arial"/>
          <w:sz w:val="22"/>
          <w:szCs w:val="22"/>
        </w:rPr>
        <w:t>3</w:t>
      </w:r>
      <w:r w:rsidR="00D247EA" w:rsidRPr="00D247EA">
        <w:rPr>
          <w:rFonts w:ascii="Arial" w:hAnsi="Arial" w:cs="Arial"/>
          <w:sz w:val="22"/>
          <w:szCs w:val="22"/>
        </w:rPr>
        <w:t xml:space="preserve"> punti</w:t>
      </w:r>
      <w:r w:rsidR="00D247EA">
        <w:rPr>
          <w:rFonts w:ascii="Arial" w:hAnsi="Arial" w:cs="Arial"/>
          <w:sz w:val="22"/>
          <w:szCs w:val="22"/>
        </w:rPr>
        <w:t xml:space="preserve"> percentuali</w:t>
      </w:r>
      <w:r>
        <w:rPr>
          <w:rFonts w:ascii="Arial" w:hAnsi="Arial" w:cs="Arial"/>
          <w:sz w:val="22"/>
          <w:szCs w:val="22"/>
        </w:rPr>
        <w:t xml:space="preserve"> rispetto al 2016</w:t>
      </w:r>
      <w:r w:rsidR="00D247EA" w:rsidRPr="00D247EA">
        <w:rPr>
          <w:rFonts w:ascii="Arial" w:hAnsi="Arial" w:cs="Arial"/>
          <w:sz w:val="22"/>
          <w:szCs w:val="22"/>
        </w:rPr>
        <w:t xml:space="preserve">, portandosi </w:t>
      </w:r>
      <w:r>
        <w:rPr>
          <w:rFonts w:ascii="Arial" w:hAnsi="Arial" w:cs="Arial"/>
          <w:sz w:val="22"/>
          <w:szCs w:val="22"/>
        </w:rPr>
        <w:t xml:space="preserve">nel 2017 </w:t>
      </w:r>
      <w:r w:rsidR="00D247EA">
        <w:rPr>
          <w:rFonts w:ascii="Arial" w:hAnsi="Arial" w:cs="Arial"/>
          <w:sz w:val="22"/>
          <w:szCs w:val="22"/>
        </w:rPr>
        <w:t>al 9,0</w:t>
      </w:r>
      <w:r w:rsidR="00D247EA" w:rsidRPr="00D247EA">
        <w:rPr>
          <w:rFonts w:ascii="Arial" w:hAnsi="Arial" w:cs="Arial"/>
          <w:sz w:val="22"/>
          <w:szCs w:val="22"/>
        </w:rPr>
        <w:t>%.</w:t>
      </w:r>
    </w:p>
    <w:p w:rsidR="00A76266" w:rsidRDefault="00A76266" w:rsidP="003474C0">
      <w:pPr>
        <w:spacing w:after="120"/>
        <w:jc w:val="both"/>
        <w:rPr>
          <w:rFonts w:ascii="Arial" w:hAnsi="Arial" w:cs="Arial"/>
          <w:sz w:val="32"/>
          <w:szCs w:val="32"/>
        </w:rPr>
      </w:pPr>
    </w:p>
    <w:p w:rsidR="0078797B" w:rsidRDefault="0078797B" w:rsidP="008B50D1">
      <w:pPr>
        <w:spacing w:after="120"/>
        <w:jc w:val="both"/>
        <w:rPr>
          <w:rFonts w:ascii="Arial" w:hAnsi="Arial" w:cs="Arial"/>
          <w:sz w:val="32"/>
          <w:szCs w:val="32"/>
        </w:rPr>
      </w:pPr>
    </w:p>
    <w:p w:rsidR="00551EE9" w:rsidRDefault="00551EE9" w:rsidP="00225B32">
      <w:pPr>
        <w:autoSpaceDE w:val="0"/>
        <w:autoSpaceDN w:val="0"/>
        <w:adjustRightInd w:val="0"/>
        <w:rPr>
          <w:rFonts w:ascii="Arial Black" w:hAnsi="Arial Black" w:cs="Arial"/>
          <w:iCs/>
          <w:noProof/>
          <w:color w:val="1F497D" w:themeColor="text2"/>
          <w:sz w:val="32"/>
          <w:szCs w:val="22"/>
        </w:rPr>
      </w:pPr>
    </w:p>
    <w:p w:rsidR="00551EE9" w:rsidRDefault="00551EE9" w:rsidP="00225B32">
      <w:pPr>
        <w:autoSpaceDE w:val="0"/>
        <w:autoSpaceDN w:val="0"/>
        <w:adjustRightInd w:val="0"/>
        <w:rPr>
          <w:rFonts w:ascii="Arial Black" w:hAnsi="Arial Black" w:cs="Arial"/>
          <w:iCs/>
          <w:noProof/>
          <w:color w:val="1F497D" w:themeColor="text2"/>
          <w:sz w:val="32"/>
          <w:szCs w:val="22"/>
        </w:rPr>
      </w:pPr>
    </w:p>
    <w:p w:rsidR="003474C0" w:rsidRDefault="003474C0" w:rsidP="00225B32">
      <w:pPr>
        <w:autoSpaceDE w:val="0"/>
        <w:autoSpaceDN w:val="0"/>
        <w:adjustRightInd w:val="0"/>
        <w:rPr>
          <w:rFonts w:ascii="Arial Black" w:hAnsi="Arial Black" w:cs="Arial"/>
          <w:iCs/>
          <w:noProof/>
          <w:color w:val="1F497D" w:themeColor="text2"/>
          <w:sz w:val="32"/>
          <w:szCs w:val="22"/>
        </w:rPr>
      </w:pPr>
    </w:p>
    <w:p w:rsidR="000E348B" w:rsidRDefault="000E348B" w:rsidP="00225B32">
      <w:pPr>
        <w:autoSpaceDE w:val="0"/>
        <w:autoSpaceDN w:val="0"/>
        <w:adjustRightInd w:val="0"/>
        <w:rPr>
          <w:rFonts w:ascii="Arial Black" w:hAnsi="Arial Black" w:cs="Arial"/>
          <w:iCs/>
          <w:noProof/>
          <w:color w:val="1F497D" w:themeColor="text2"/>
          <w:sz w:val="32"/>
          <w:szCs w:val="22"/>
        </w:rPr>
      </w:pPr>
    </w:p>
    <w:p w:rsidR="0039197C" w:rsidRDefault="0039197C" w:rsidP="00225B32">
      <w:pPr>
        <w:autoSpaceDE w:val="0"/>
        <w:autoSpaceDN w:val="0"/>
        <w:adjustRightInd w:val="0"/>
        <w:rPr>
          <w:rFonts w:ascii="Arial Black" w:hAnsi="Arial Black" w:cs="Arial"/>
          <w:iCs/>
          <w:noProof/>
          <w:color w:val="1F497D" w:themeColor="text2"/>
          <w:sz w:val="32"/>
          <w:szCs w:val="22"/>
        </w:rPr>
      </w:pPr>
    </w:p>
    <w:p w:rsidR="00D6261C" w:rsidRDefault="00D6261C" w:rsidP="00225B32">
      <w:pPr>
        <w:autoSpaceDE w:val="0"/>
        <w:autoSpaceDN w:val="0"/>
        <w:adjustRightInd w:val="0"/>
        <w:rPr>
          <w:rFonts w:ascii="Arial Black" w:hAnsi="Arial Black" w:cs="Arial"/>
          <w:iCs/>
          <w:noProof/>
          <w:color w:val="1F497D" w:themeColor="text2"/>
          <w:sz w:val="32"/>
          <w:szCs w:val="22"/>
        </w:rPr>
      </w:pPr>
    </w:p>
    <w:p w:rsidR="00F87E4E" w:rsidRDefault="00F87E4E" w:rsidP="00225B32">
      <w:pPr>
        <w:autoSpaceDE w:val="0"/>
        <w:autoSpaceDN w:val="0"/>
        <w:adjustRightInd w:val="0"/>
        <w:rPr>
          <w:rFonts w:ascii="Arial Black" w:hAnsi="Arial Black" w:cs="Arial"/>
          <w:iCs/>
          <w:noProof/>
          <w:color w:val="1F497D" w:themeColor="text2"/>
          <w:sz w:val="32"/>
          <w:szCs w:val="22"/>
        </w:rPr>
      </w:pPr>
    </w:p>
    <w:p w:rsidR="000A0440" w:rsidRDefault="000A0440" w:rsidP="00225B32">
      <w:pPr>
        <w:autoSpaceDE w:val="0"/>
        <w:autoSpaceDN w:val="0"/>
        <w:adjustRightInd w:val="0"/>
        <w:rPr>
          <w:rFonts w:ascii="Arial Black" w:hAnsi="Arial Black" w:cs="Arial"/>
          <w:iCs/>
          <w:noProof/>
          <w:color w:val="1F497D" w:themeColor="text2"/>
          <w:sz w:val="32"/>
          <w:szCs w:val="22"/>
        </w:rPr>
      </w:pPr>
    </w:p>
    <w:p w:rsidR="003474C0" w:rsidRDefault="003474C0" w:rsidP="00225B32">
      <w:pPr>
        <w:autoSpaceDE w:val="0"/>
        <w:autoSpaceDN w:val="0"/>
        <w:adjustRightInd w:val="0"/>
        <w:rPr>
          <w:rFonts w:ascii="Arial Black" w:hAnsi="Arial Black" w:cs="Arial"/>
          <w:iCs/>
          <w:noProof/>
          <w:color w:val="1F497D" w:themeColor="text2"/>
          <w:sz w:val="32"/>
          <w:szCs w:val="22"/>
        </w:rPr>
      </w:pPr>
    </w:p>
    <w:p w:rsidR="00934608" w:rsidRDefault="00934608" w:rsidP="00EF0362">
      <w:pPr>
        <w:autoSpaceDE w:val="0"/>
        <w:autoSpaceDN w:val="0"/>
        <w:adjustRightInd w:val="0"/>
        <w:rPr>
          <w:rFonts w:ascii="Arial Black" w:hAnsi="Arial Black" w:cs="Arial"/>
          <w:iCs/>
          <w:noProof/>
          <w:color w:val="1F497D" w:themeColor="text2"/>
          <w:sz w:val="22"/>
          <w:szCs w:val="22"/>
        </w:rPr>
      </w:pPr>
    </w:p>
    <w:p w:rsidR="00934608" w:rsidRDefault="00934608" w:rsidP="00EF0362">
      <w:pPr>
        <w:autoSpaceDE w:val="0"/>
        <w:autoSpaceDN w:val="0"/>
        <w:adjustRightInd w:val="0"/>
        <w:rPr>
          <w:rFonts w:ascii="Arial Black" w:hAnsi="Arial Black" w:cs="Arial"/>
          <w:iCs/>
          <w:noProof/>
          <w:color w:val="1F497D" w:themeColor="text2"/>
          <w:sz w:val="22"/>
          <w:szCs w:val="22"/>
        </w:rPr>
      </w:pPr>
    </w:p>
    <w:p w:rsidR="00934608" w:rsidRDefault="00934608" w:rsidP="00EF0362">
      <w:pPr>
        <w:autoSpaceDE w:val="0"/>
        <w:autoSpaceDN w:val="0"/>
        <w:adjustRightInd w:val="0"/>
        <w:rPr>
          <w:rFonts w:ascii="Arial Black" w:hAnsi="Arial Black" w:cs="Arial"/>
          <w:iCs/>
          <w:noProof/>
          <w:color w:val="1F497D" w:themeColor="text2"/>
          <w:sz w:val="22"/>
          <w:szCs w:val="22"/>
        </w:rPr>
      </w:pPr>
    </w:p>
    <w:p w:rsidR="00EF0362" w:rsidRDefault="00F27409" w:rsidP="00EF0362">
      <w:pPr>
        <w:autoSpaceDE w:val="0"/>
        <w:autoSpaceDN w:val="0"/>
        <w:adjustRightInd w:val="0"/>
        <w:rPr>
          <w:rFonts w:ascii="Arial Narrow" w:hAnsi="Arial Narrow" w:cs="Arial"/>
          <w:b/>
          <w:iCs/>
          <w:noProof/>
          <w:color w:val="1F497D" w:themeColor="text2"/>
          <w:sz w:val="22"/>
          <w:szCs w:val="22"/>
        </w:rPr>
      </w:pPr>
      <w:r w:rsidRPr="005D02DA">
        <w:rPr>
          <w:rFonts w:ascii="Arial Black" w:hAnsi="Arial Black" w:cs="Arial"/>
          <w:iCs/>
          <w:noProof/>
          <w:color w:val="1F497D" w:themeColor="text2"/>
          <w:sz w:val="22"/>
          <w:szCs w:val="22"/>
        </w:rPr>
        <w:t>FIGURA 1.</w:t>
      </w:r>
      <w:r w:rsidR="00E0383B">
        <w:rPr>
          <w:rFonts w:ascii="Arial Narrow" w:hAnsi="Arial Narrow" w:cs="Arial"/>
          <w:b/>
          <w:iCs/>
          <w:noProof/>
          <w:color w:val="1F497D" w:themeColor="text2"/>
          <w:sz w:val="22"/>
          <w:szCs w:val="22"/>
        </w:rPr>
        <w:t>LE COMPONENTI</w:t>
      </w:r>
      <w:r w:rsidR="00EF0362" w:rsidRPr="00EF0362">
        <w:rPr>
          <w:rFonts w:ascii="Arial Narrow" w:hAnsi="Arial Narrow" w:cs="Arial"/>
          <w:b/>
          <w:iCs/>
          <w:noProof/>
          <w:color w:val="1F497D" w:themeColor="text2"/>
          <w:sz w:val="22"/>
          <w:szCs w:val="22"/>
        </w:rPr>
        <w:t xml:space="preserve"> DELL’ECONOMIA </w:t>
      </w:r>
      <w:r w:rsidR="00E0383B">
        <w:rPr>
          <w:rFonts w:ascii="Arial Narrow" w:hAnsi="Arial Narrow" w:cs="Arial"/>
          <w:b/>
          <w:iCs/>
          <w:noProof/>
          <w:color w:val="1F497D" w:themeColor="text2"/>
          <w:sz w:val="22"/>
          <w:szCs w:val="22"/>
        </w:rPr>
        <w:t>NON OSSERVATA</w:t>
      </w:r>
    </w:p>
    <w:p w:rsidR="00225B32" w:rsidRDefault="007A5E3F" w:rsidP="00EF0362">
      <w:pPr>
        <w:autoSpaceDE w:val="0"/>
        <w:autoSpaceDN w:val="0"/>
        <w:adjustRightInd w:val="0"/>
        <w:rPr>
          <w:rFonts w:ascii="Arial Narrow" w:hAnsi="Arial Narrow" w:cs="Arial"/>
          <w:iCs/>
          <w:noProof/>
          <w:color w:val="1F497D" w:themeColor="text2"/>
          <w:sz w:val="22"/>
          <w:szCs w:val="22"/>
        </w:rPr>
      </w:pPr>
      <w:r>
        <w:rPr>
          <w:rFonts w:ascii="Arial Narrow" w:hAnsi="Arial Narrow" w:cs="Arial"/>
          <w:iCs/>
          <w:noProof/>
          <w:color w:val="1F497D" w:themeColor="text2"/>
          <w:sz w:val="22"/>
          <w:szCs w:val="22"/>
        </w:rPr>
        <w:t xml:space="preserve">Anni 2014- </w:t>
      </w:r>
      <w:r w:rsidR="005D02DA" w:rsidRPr="005D02DA">
        <w:rPr>
          <w:rFonts w:ascii="Arial Narrow" w:hAnsi="Arial Narrow" w:cs="Arial"/>
          <w:iCs/>
          <w:noProof/>
          <w:color w:val="1F497D" w:themeColor="text2"/>
          <w:sz w:val="22"/>
          <w:szCs w:val="22"/>
        </w:rPr>
        <w:t>201</w:t>
      </w:r>
      <w:r w:rsidR="00D912D5">
        <w:rPr>
          <w:rFonts w:ascii="Arial Narrow" w:hAnsi="Arial Narrow" w:cs="Arial"/>
          <w:iCs/>
          <w:noProof/>
          <w:color w:val="1F497D" w:themeColor="text2"/>
          <w:sz w:val="22"/>
          <w:szCs w:val="22"/>
        </w:rPr>
        <w:t>7</w:t>
      </w:r>
      <w:r w:rsidR="000A0440">
        <w:rPr>
          <w:rFonts w:ascii="Arial Narrow" w:hAnsi="Arial Narrow" w:cs="Arial"/>
          <w:iCs/>
          <w:noProof/>
          <w:color w:val="1F497D" w:themeColor="text2"/>
          <w:sz w:val="22"/>
          <w:szCs w:val="22"/>
        </w:rPr>
        <w:t>, valori pe</w:t>
      </w:r>
      <w:r w:rsidR="00225B32" w:rsidRPr="005D02DA">
        <w:rPr>
          <w:rFonts w:ascii="Arial Narrow" w:hAnsi="Arial Narrow" w:cs="Arial"/>
          <w:iCs/>
          <w:noProof/>
          <w:color w:val="1F497D" w:themeColor="text2"/>
          <w:sz w:val="22"/>
          <w:szCs w:val="22"/>
        </w:rPr>
        <w:t>rcentuali</w:t>
      </w:r>
    </w:p>
    <w:p w:rsidR="00B27661" w:rsidRPr="00B27661" w:rsidRDefault="00B27661" w:rsidP="00EF0362">
      <w:pPr>
        <w:autoSpaceDE w:val="0"/>
        <w:autoSpaceDN w:val="0"/>
        <w:adjustRightInd w:val="0"/>
        <w:rPr>
          <w:rFonts w:ascii="Arial Narrow" w:hAnsi="Arial Narrow" w:cs="Arial"/>
          <w:iCs/>
          <w:noProof/>
          <w:color w:val="1F497D" w:themeColor="text2"/>
          <w:sz w:val="16"/>
          <w:szCs w:val="22"/>
        </w:rPr>
      </w:pPr>
    </w:p>
    <w:p w:rsidR="007A5E3F" w:rsidRDefault="00934608" w:rsidP="00EF0362">
      <w:pPr>
        <w:autoSpaceDE w:val="0"/>
        <w:autoSpaceDN w:val="0"/>
        <w:adjustRightInd w:val="0"/>
        <w:rPr>
          <w:rFonts w:ascii="Arial Narrow" w:hAnsi="Arial Narrow" w:cs="Arial"/>
          <w:iCs/>
          <w:noProof/>
          <w:color w:val="1F497D" w:themeColor="text2"/>
          <w:sz w:val="22"/>
          <w:szCs w:val="22"/>
        </w:rPr>
      </w:pPr>
      <w:r>
        <w:rPr>
          <w:rFonts w:ascii="Arial Narrow" w:hAnsi="Arial Narrow" w:cs="Arial"/>
          <w:iCs/>
          <w:noProof/>
          <w:color w:val="1F497D" w:themeColor="text2"/>
          <w:sz w:val="22"/>
          <w:szCs w:val="22"/>
        </w:rPr>
        <mc:AlternateContent>
          <mc:Choice Requires="wps">
            <w:drawing>
              <wp:anchor distT="0" distB="0" distL="114300" distR="114300" simplePos="0" relativeHeight="251685888" behindDoc="0" locked="0" layoutInCell="1" allowOverlap="1">
                <wp:simplePos x="0" y="0"/>
                <wp:positionH relativeFrom="column">
                  <wp:posOffset>26035</wp:posOffset>
                </wp:positionH>
                <wp:positionV relativeFrom="paragraph">
                  <wp:posOffset>2110740</wp:posOffset>
                </wp:positionV>
                <wp:extent cx="209550" cy="208280"/>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08280"/>
                        </a:xfrm>
                        <a:prstGeom prst="rect">
                          <a:avLst/>
                        </a:prstGeom>
                        <a:solidFill>
                          <a:srgbClr val="FFFFFF">
                            <a:alpha val="0"/>
                          </a:srgbClr>
                        </a:solidFill>
                        <a:ln w="9525">
                          <a:noFill/>
                          <a:miter lim="800000"/>
                          <a:headEnd/>
                          <a:tailEnd/>
                        </a:ln>
                      </wps:spPr>
                      <wps:txbx>
                        <w:txbxContent>
                          <w:p w:rsidR="00DC4941" w:rsidRPr="00DC4941" w:rsidRDefault="00DC4941">
                            <w:pPr>
                              <w:rPr>
                                <w:rFonts w:ascii="Arial Narrow" w:hAnsi="Arial Narrow"/>
                                <w:sz w:val="16"/>
                                <w:szCs w:val="16"/>
                              </w:rPr>
                            </w:pPr>
                            <w:r w:rsidRPr="00DC4941">
                              <w:rPr>
                                <w:rFonts w:ascii="Arial Narrow" w:hAnsi="Arial Narrow"/>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2.05pt;margin-top:166.2pt;width:16.5pt;height:16.4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" stroked="f">
                <v:fill opacity="0"/>
                <v:textbox style="mso-fit-shape-to-text:t">
                  <w:txbxContent>
                    <w:p w:rsidR="00DC4941" w:rsidRPr="00DC4941" w:rsidRDefault="00DC4941">
                      <w:pPr>
                        <w:rPr>
                          <w:rFonts w:ascii="Arial Narrow" w:hAnsi="Arial Narrow"/>
                          <w:sz w:val="16"/>
                          <w:szCs w:val="16"/>
                        </w:rPr>
                      </w:pPr>
                      <w:r w:rsidRPr="00DC4941">
                        <w:rPr>
                          <w:rFonts w:ascii="Arial Narrow" w:hAnsi="Arial Narrow"/>
                          <w:sz w:val="16"/>
                          <w:szCs w:val="16"/>
                        </w:rPr>
                        <w:t>%</w:t>
                      </w:r>
                    </w:p>
                  </w:txbxContent>
                </v:textbox>
              </v:shape>
            </w:pict>
          </mc:Fallback>
        </mc:AlternateContent>
      </w:r>
      <w:r w:rsidR="007A5E3F">
        <w:rPr>
          <w:noProof/>
        </w:rPr>
        <w:drawing>
          <wp:inline distT="0" distB="0" distL="0" distR="0" wp14:anchorId="77FA1902" wp14:editId="509E4C6C">
            <wp:extent cx="6384249" cy="2345995"/>
            <wp:effectExtent l="0" t="0" r="0" b="0"/>
            <wp:docPr id="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46CB1" w:rsidRPr="00EE0CA3" w:rsidRDefault="00046CB1" w:rsidP="0078797B">
      <w:pPr>
        <w:spacing w:after="120"/>
        <w:jc w:val="both"/>
        <w:outlineLvl w:val="0"/>
        <w:rPr>
          <w:rFonts w:ascii="Arial" w:hAnsi="Arial" w:cs="Arial"/>
          <w:b/>
          <w:color w:val="1F497D" w:themeColor="text2"/>
          <w:sz w:val="8"/>
          <w:szCs w:val="8"/>
        </w:rPr>
      </w:pPr>
    </w:p>
    <w:p w:rsidR="00934608" w:rsidRDefault="00934608" w:rsidP="003474C0">
      <w:pPr>
        <w:rPr>
          <w:rFonts w:ascii="Arial" w:hAnsi="Arial" w:cs="Arial"/>
          <w:b/>
          <w:color w:val="1F497D" w:themeColor="text2"/>
          <w:sz w:val="26"/>
          <w:szCs w:val="26"/>
        </w:rPr>
      </w:pPr>
    </w:p>
    <w:p w:rsidR="003474C0" w:rsidRPr="00AD201C" w:rsidRDefault="003474C0" w:rsidP="003474C0">
      <w:pPr>
        <w:rPr>
          <w:rFonts w:ascii="Arial" w:hAnsi="Arial" w:cs="Arial"/>
          <w:b/>
          <w:color w:val="1F497D" w:themeColor="text2"/>
          <w:sz w:val="26"/>
          <w:szCs w:val="26"/>
        </w:rPr>
      </w:pPr>
      <w:r>
        <w:rPr>
          <w:rFonts w:ascii="Arial" w:hAnsi="Arial" w:cs="Arial"/>
          <w:b/>
          <w:color w:val="1F497D" w:themeColor="text2"/>
          <w:sz w:val="26"/>
          <w:szCs w:val="26"/>
        </w:rPr>
        <w:t>V</w:t>
      </w:r>
      <w:r w:rsidRPr="00F87E4E">
        <w:rPr>
          <w:rFonts w:ascii="Arial" w:hAnsi="Arial" w:cs="Arial"/>
          <w:b/>
          <w:color w:val="1F497D" w:themeColor="text2"/>
          <w:sz w:val="26"/>
          <w:szCs w:val="26"/>
        </w:rPr>
        <w:t>alore aggiunto sommerso soprattutto nei servizi</w:t>
      </w:r>
    </w:p>
    <w:p w:rsidR="003474C0" w:rsidRDefault="003474C0" w:rsidP="003474C0">
      <w:pPr>
        <w:pStyle w:val="Default"/>
        <w:spacing w:after="120"/>
        <w:jc w:val="both"/>
        <w:rPr>
          <w:rFonts w:ascii="Arial" w:hAnsi="Arial" w:cs="Arial"/>
          <w:color w:val="auto"/>
          <w:sz w:val="22"/>
          <w:szCs w:val="22"/>
        </w:rPr>
      </w:pPr>
    </w:p>
    <w:p w:rsidR="003474C0" w:rsidRDefault="003474C0" w:rsidP="003474C0">
      <w:pPr>
        <w:pStyle w:val="Default"/>
        <w:spacing w:after="120"/>
        <w:jc w:val="both"/>
        <w:rPr>
          <w:rFonts w:ascii="Arial" w:hAnsi="Arial" w:cs="Arial"/>
          <w:color w:val="auto"/>
          <w:sz w:val="22"/>
          <w:szCs w:val="22"/>
        </w:rPr>
      </w:pPr>
      <w:r>
        <w:rPr>
          <w:rFonts w:ascii="Arial" w:hAnsi="Arial" w:cs="Arial"/>
          <w:color w:val="auto"/>
          <w:sz w:val="22"/>
          <w:szCs w:val="22"/>
        </w:rPr>
        <w:t xml:space="preserve">L’insieme delle componenti dell’economia sommersa vale nel 2017 circa 192 miliardi di euro, il 12,3% del valore aggiunto prodotto dal sistema economico: la sotto-dichiarazione vale 97 miliardi, l’impiego di lavoro irregolare 79 miliardi e le componenti residuali 16 miliardi. </w:t>
      </w:r>
    </w:p>
    <w:p w:rsidR="003474C0" w:rsidRDefault="003474C0" w:rsidP="003474C0">
      <w:pPr>
        <w:jc w:val="both"/>
        <w:rPr>
          <w:rFonts w:ascii="Arial" w:hAnsi="Arial" w:cs="Arial"/>
          <w:sz w:val="22"/>
          <w:szCs w:val="22"/>
        </w:rPr>
      </w:pPr>
      <w:r w:rsidRPr="00046CB1">
        <w:rPr>
          <w:rFonts w:ascii="Arial" w:hAnsi="Arial" w:cs="Arial"/>
          <w:sz w:val="22"/>
          <w:szCs w:val="22"/>
        </w:rPr>
        <w:t xml:space="preserve">La diffusione del sommerso economico </w:t>
      </w:r>
      <w:r>
        <w:rPr>
          <w:rFonts w:ascii="Arial" w:hAnsi="Arial" w:cs="Arial"/>
          <w:sz w:val="22"/>
          <w:szCs w:val="22"/>
        </w:rPr>
        <w:t>risulta</w:t>
      </w:r>
      <w:r w:rsidRPr="00046CB1">
        <w:rPr>
          <w:rFonts w:ascii="Arial" w:hAnsi="Arial" w:cs="Arial"/>
          <w:sz w:val="22"/>
          <w:szCs w:val="22"/>
        </w:rPr>
        <w:t xml:space="preserve"> essere legata al tipo di mercato di riferimento (e di rapporto fra cliente e fornitore) piuttosto che alla tipologia di bene/servizio prodotto. Al fine di cogliere in maniera più accurata questa caratteristica del fenomeno, è</w:t>
      </w:r>
      <w:r w:rsidR="00710108">
        <w:rPr>
          <w:rFonts w:ascii="Arial" w:hAnsi="Arial" w:cs="Arial"/>
          <w:sz w:val="22"/>
          <w:szCs w:val="22"/>
        </w:rPr>
        <w:t xml:space="preserve"> </w:t>
      </w:r>
      <w:r w:rsidRPr="00046CB1">
        <w:rPr>
          <w:rFonts w:ascii="Arial" w:hAnsi="Arial" w:cs="Arial"/>
          <w:sz w:val="22"/>
          <w:szCs w:val="22"/>
        </w:rPr>
        <w:t xml:space="preserve">opportuno utilizzare una disaggregazione settoriale che </w:t>
      </w:r>
      <w:r>
        <w:rPr>
          <w:rFonts w:ascii="Arial" w:hAnsi="Arial" w:cs="Arial"/>
          <w:sz w:val="22"/>
          <w:szCs w:val="22"/>
        </w:rPr>
        <w:t>tenga</w:t>
      </w:r>
      <w:r w:rsidRPr="00046CB1">
        <w:rPr>
          <w:rFonts w:ascii="Arial" w:hAnsi="Arial" w:cs="Arial"/>
          <w:sz w:val="22"/>
          <w:szCs w:val="22"/>
        </w:rPr>
        <w:t xml:space="preserve"> in considerazione la specificità funzionale dei prodotti/servizi piuttosto che le caratteristiche tecnologiche dei processi produttivi.</w:t>
      </w:r>
    </w:p>
    <w:p w:rsidR="003474C0" w:rsidRDefault="003474C0" w:rsidP="003474C0">
      <w:pPr>
        <w:jc w:val="both"/>
        <w:rPr>
          <w:rFonts w:ascii="Arial" w:hAnsi="Arial" w:cs="Arial"/>
          <w:sz w:val="22"/>
          <w:szCs w:val="22"/>
        </w:rPr>
      </w:pPr>
    </w:p>
    <w:p w:rsidR="00050328" w:rsidRDefault="003474C0" w:rsidP="00050328">
      <w:pPr>
        <w:jc w:val="both"/>
        <w:rPr>
          <w:rFonts w:ascii="Arial" w:hAnsi="Arial" w:cs="Arial"/>
          <w:sz w:val="22"/>
          <w:szCs w:val="22"/>
        </w:rPr>
      </w:pPr>
      <w:r w:rsidRPr="00046CB1">
        <w:rPr>
          <w:rFonts w:ascii="Arial" w:hAnsi="Arial" w:cs="Arial"/>
          <w:sz w:val="22"/>
          <w:szCs w:val="22"/>
        </w:rPr>
        <w:t xml:space="preserve">Nella classificazione </w:t>
      </w:r>
      <w:r>
        <w:rPr>
          <w:rFonts w:ascii="Arial" w:hAnsi="Arial" w:cs="Arial"/>
          <w:sz w:val="22"/>
          <w:szCs w:val="22"/>
        </w:rPr>
        <w:t>utilizzata a questo fine</w:t>
      </w:r>
      <w:r w:rsidRPr="00046CB1">
        <w:rPr>
          <w:rFonts w:ascii="Arial" w:hAnsi="Arial" w:cs="Arial"/>
          <w:sz w:val="22"/>
          <w:szCs w:val="22"/>
        </w:rPr>
        <w:t>, le attività industriali sono distinte in Produzione di beni di consumo, Produzione di beni di investimento e Produzione di beni intermedi (che include il comparto energetico e della gestione dei rifiuti). Nel terziario, le attività dei Servizi professionali sono analizzate separatamente dagli Altri servizi alle imprese</w:t>
      </w:r>
      <w:r w:rsidR="00C675F7">
        <w:rPr>
          <w:rFonts w:ascii="Arial" w:hAnsi="Arial" w:cs="Arial"/>
          <w:sz w:val="22"/>
          <w:szCs w:val="22"/>
        </w:rPr>
        <w:t>.</w:t>
      </w:r>
    </w:p>
    <w:p w:rsidR="00C675F7" w:rsidRPr="00046CB1" w:rsidRDefault="00C675F7" w:rsidP="00050328">
      <w:pPr>
        <w:jc w:val="both"/>
        <w:rPr>
          <w:rFonts w:ascii="Arial" w:hAnsi="Arial" w:cs="Arial"/>
          <w:sz w:val="22"/>
          <w:szCs w:val="22"/>
        </w:rPr>
      </w:pPr>
    </w:p>
    <w:p w:rsidR="000E348B" w:rsidRDefault="000E348B" w:rsidP="00DB50B0">
      <w:pPr>
        <w:pStyle w:val="Default"/>
        <w:spacing w:after="120"/>
        <w:jc w:val="both"/>
        <w:rPr>
          <w:rFonts w:ascii="Arial" w:hAnsi="Arial" w:cs="Arial"/>
          <w:color w:val="auto"/>
          <w:sz w:val="22"/>
          <w:szCs w:val="22"/>
        </w:rPr>
      </w:pPr>
      <w:r>
        <w:rPr>
          <w:rFonts w:ascii="Arial" w:hAnsi="Arial" w:cs="Arial"/>
          <w:color w:val="auto"/>
          <w:sz w:val="22"/>
          <w:szCs w:val="22"/>
        </w:rPr>
        <w:t>A livello settoriale si evidenzia che i</w:t>
      </w:r>
      <w:r w:rsidR="00DB50B0" w:rsidRPr="00DB50B0">
        <w:rPr>
          <w:rFonts w:ascii="Arial" w:hAnsi="Arial" w:cs="Arial"/>
          <w:color w:val="auto"/>
          <w:sz w:val="22"/>
          <w:szCs w:val="22"/>
        </w:rPr>
        <w:t>l ricorso alla sotto-dichiarazione del valore aggiunto ha un ruolo significativo ne</w:t>
      </w:r>
      <w:r w:rsidR="008E667E">
        <w:rPr>
          <w:rFonts w:ascii="Arial" w:hAnsi="Arial" w:cs="Arial"/>
          <w:color w:val="auto"/>
          <w:sz w:val="22"/>
          <w:szCs w:val="22"/>
        </w:rPr>
        <w:t>l</w:t>
      </w:r>
      <w:r w:rsidR="00710108">
        <w:rPr>
          <w:rFonts w:ascii="Arial" w:hAnsi="Arial" w:cs="Arial"/>
          <w:color w:val="auto"/>
          <w:sz w:val="22"/>
          <w:szCs w:val="22"/>
        </w:rPr>
        <w:t xml:space="preserve"> </w:t>
      </w:r>
      <w:r w:rsidR="008E667E" w:rsidRPr="00DB50B0">
        <w:rPr>
          <w:rFonts w:ascii="Arial" w:hAnsi="Arial" w:cs="Arial"/>
          <w:color w:val="auto"/>
          <w:sz w:val="22"/>
          <w:szCs w:val="22"/>
        </w:rPr>
        <w:t>Commercio, trasporti, alloggio e ristorazione</w:t>
      </w:r>
      <w:r w:rsidR="0034411C">
        <w:rPr>
          <w:rFonts w:ascii="Arial" w:hAnsi="Arial" w:cs="Arial"/>
          <w:color w:val="auto"/>
          <w:sz w:val="22"/>
          <w:szCs w:val="22"/>
        </w:rPr>
        <w:t xml:space="preserve">, dove rappresenta il </w:t>
      </w:r>
      <w:r w:rsidR="008E667E" w:rsidRPr="00DB50B0">
        <w:rPr>
          <w:rFonts w:ascii="Arial" w:hAnsi="Arial" w:cs="Arial"/>
          <w:color w:val="auto"/>
          <w:sz w:val="22"/>
          <w:szCs w:val="22"/>
        </w:rPr>
        <w:t>1</w:t>
      </w:r>
      <w:r w:rsidR="008E667E">
        <w:rPr>
          <w:rFonts w:ascii="Arial" w:hAnsi="Arial" w:cs="Arial"/>
          <w:color w:val="auto"/>
          <w:sz w:val="22"/>
          <w:szCs w:val="22"/>
        </w:rPr>
        <w:t>3</w:t>
      </w:r>
      <w:r w:rsidR="008E667E" w:rsidRPr="00DB50B0">
        <w:rPr>
          <w:rFonts w:ascii="Arial" w:hAnsi="Arial" w:cs="Arial"/>
          <w:color w:val="auto"/>
          <w:sz w:val="22"/>
          <w:szCs w:val="22"/>
        </w:rPr>
        <w:t>,</w:t>
      </w:r>
      <w:r w:rsidR="008E667E">
        <w:rPr>
          <w:rFonts w:ascii="Arial" w:hAnsi="Arial" w:cs="Arial"/>
          <w:color w:val="auto"/>
          <w:sz w:val="22"/>
          <w:szCs w:val="22"/>
        </w:rPr>
        <w:t xml:space="preserve">2% </w:t>
      </w:r>
      <w:r w:rsidR="0034411C">
        <w:rPr>
          <w:rFonts w:ascii="Arial" w:hAnsi="Arial" w:cs="Arial"/>
          <w:color w:val="auto"/>
          <w:sz w:val="22"/>
          <w:szCs w:val="22"/>
        </w:rPr>
        <w:t>del valore aggiunto del comparto</w:t>
      </w:r>
      <w:r w:rsidR="007D47C3">
        <w:rPr>
          <w:rFonts w:ascii="Arial" w:hAnsi="Arial" w:cs="Arial"/>
          <w:color w:val="auto"/>
          <w:sz w:val="22"/>
          <w:szCs w:val="22"/>
        </w:rPr>
        <w:t>,</w:t>
      </w:r>
      <w:r w:rsidR="008E667E" w:rsidRPr="00DB50B0">
        <w:rPr>
          <w:rFonts w:ascii="Arial" w:hAnsi="Arial" w:cs="Arial"/>
          <w:color w:val="auto"/>
          <w:sz w:val="22"/>
          <w:szCs w:val="22"/>
        </w:rPr>
        <w:t xml:space="preserve"> nelle Costruzioni (11,9%</w:t>
      </w:r>
      <w:r w:rsidR="007D47C3">
        <w:rPr>
          <w:rFonts w:ascii="Arial" w:hAnsi="Arial" w:cs="Arial"/>
          <w:color w:val="auto"/>
          <w:sz w:val="22"/>
          <w:szCs w:val="22"/>
        </w:rPr>
        <w:t>) e nei Servizi professionali (</w:t>
      </w:r>
      <w:r w:rsidR="00DB50B0" w:rsidRPr="00DB50B0">
        <w:rPr>
          <w:rFonts w:ascii="Arial" w:hAnsi="Arial" w:cs="Arial"/>
          <w:color w:val="auto"/>
          <w:sz w:val="22"/>
          <w:szCs w:val="22"/>
        </w:rPr>
        <w:t>1</w:t>
      </w:r>
      <w:r w:rsidR="008E667E">
        <w:rPr>
          <w:rFonts w:ascii="Arial" w:hAnsi="Arial" w:cs="Arial"/>
          <w:color w:val="auto"/>
          <w:sz w:val="22"/>
          <w:szCs w:val="22"/>
        </w:rPr>
        <w:t>1</w:t>
      </w:r>
      <w:r w:rsidR="00DB50B0" w:rsidRPr="00DB50B0">
        <w:rPr>
          <w:rFonts w:ascii="Arial" w:hAnsi="Arial" w:cs="Arial"/>
          <w:color w:val="auto"/>
          <w:sz w:val="22"/>
          <w:szCs w:val="22"/>
        </w:rPr>
        <w:t>,</w:t>
      </w:r>
      <w:r w:rsidR="008E667E">
        <w:rPr>
          <w:rFonts w:ascii="Arial" w:hAnsi="Arial" w:cs="Arial"/>
          <w:color w:val="auto"/>
          <w:sz w:val="22"/>
          <w:szCs w:val="22"/>
        </w:rPr>
        <w:t>6</w:t>
      </w:r>
      <w:r w:rsidR="00DB50B0" w:rsidRPr="00DB50B0">
        <w:rPr>
          <w:rFonts w:ascii="Arial" w:hAnsi="Arial" w:cs="Arial"/>
          <w:color w:val="auto"/>
          <w:sz w:val="22"/>
          <w:szCs w:val="22"/>
        </w:rPr>
        <w:t>%</w:t>
      </w:r>
      <w:r w:rsidR="007D47C3">
        <w:rPr>
          <w:rFonts w:ascii="Arial" w:hAnsi="Arial" w:cs="Arial"/>
          <w:color w:val="auto"/>
          <w:sz w:val="22"/>
          <w:szCs w:val="22"/>
        </w:rPr>
        <w:t xml:space="preserve">). </w:t>
      </w:r>
      <w:r w:rsidR="00DB50B0" w:rsidRPr="00DB50B0">
        <w:rPr>
          <w:rFonts w:ascii="Arial" w:hAnsi="Arial" w:cs="Arial"/>
          <w:color w:val="auto"/>
          <w:sz w:val="22"/>
          <w:szCs w:val="22"/>
        </w:rPr>
        <w:t xml:space="preserve">Il fenomeno risulta meno </w:t>
      </w:r>
      <w:r w:rsidR="004358AB">
        <w:rPr>
          <w:rFonts w:ascii="Arial" w:hAnsi="Arial" w:cs="Arial"/>
          <w:color w:val="auto"/>
          <w:sz w:val="22"/>
          <w:szCs w:val="22"/>
        </w:rPr>
        <w:t>rilevante</w:t>
      </w:r>
      <w:r w:rsidR="00DB50B0" w:rsidRPr="00DB50B0">
        <w:rPr>
          <w:rFonts w:ascii="Arial" w:hAnsi="Arial" w:cs="Arial"/>
          <w:color w:val="auto"/>
          <w:sz w:val="22"/>
          <w:szCs w:val="22"/>
        </w:rPr>
        <w:t xml:space="preserve"> nelle attività connesse alla Produzione di beni alimentari e di consumo (</w:t>
      </w:r>
      <w:r w:rsidR="008E667E">
        <w:rPr>
          <w:rFonts w:ascii="Arial" w:hAnsi="Arial" w:cs="Arial"/>
          <w:color w:val="auto"/>
          <w:sz w:val="22"/>
          <w:szCs w:val="22"/>
        </w:rPr>
        <w:t>9</w:t>
      </w:r>
      <w:r w:rsidR="00DB50B0" w:rsidRPr="00DB50B0">
        <w:rPr>
          <w:rFonts w:ascii="Arial" w:hAnsi="Arial" w:cs="Arial"/>
          <w:color w:val="auto"/>
          <w:sz w:val="22"/>
          <w:szCs w:val="22"/>
        </w:rPr>
        <w:t>,</w:t>
      </w:r>
      <w:r w:rsidR="008E667E">
        <w:rPr>
          <w:rFonts w:ascii="Arial" w:hAnsi="Arial" w:cs="Arial"/>
          <w:color w:val="auto"/>
          <w:sz w:val="22"/>
          <w:szCs w:val="22"/>
        </w:rPr>
        <w:t>2</w:t>
      </w:r>
      <w:r w:rsidR="00DB50B0" w:rsidRPr="00DB50B0">
        <w:rPr>
          <w:rFonts w:ascii="Arial" w:hAnsi="Arial" w:cs="Arial"/>
          <w:color w:val="auto"/>
          <w:sz w:val="22"/>
          <w:szCs w:val="22"/>
        </w:rPr>
        <w:t>%</w:t>
      </w:r>
      <w:r w:rsidR="007D47C3">
        <w:rPr>
          <w:rFonts w:ascii="Arial" w:hAnsi="Arial" w:cs="Arial"/>
          <w:color w:val="auto"/>
          <w:sz w:val="22"/>
          <w:szCs w:val="22"/>
        </w:rPr>
        <w:t xml:space="preserve"> del totale del settore</w:t>
      </w:r>
      <w:r w:rsidR="00DB50B0" w:rsidRPr="00DB50B0">
        <w:rPr>
          <w:rFonts w:ascii="Arial" w:hAnsi="Arial" w:cs="Arial"/>
          <w:color w:val="auto"/>
          <w:sz w:val="22"/>
          <w:szCs w:val="22"/>
        </w:rPr>
        <w:t>), alla Produzione di beni di investimento (2,</w:t>
      </w:r>
      <w:r w:rsidR="008E667E">
        <w:rPr>
          <w:rFonts w:ascii="Arial" w:hAnsi="Arial" w:cs="Arial"/>
          <w:color w:val="auto"/>
          <w:sz w:val="22"/>
          <w:szCs w:val="22"/>
        </w:rPr>
        <w:t>4</w:t>
      </w:r>
      <w:r w:rsidR="00DB50B0" w:rsidRPr="00DB50B0">
        <w:rPr>
          <w:rFonts w:ascii="Arial" w:hAnsi="Arial" w:cs="Arial"/>
          <w:color w:val="auto"/>
          <w:sz w:val="22"/>
          <w:szCs w:val="22"/>
        </w:rPr>
        <w:t xml:space="preserve">%) </w:t>
      </w:r>
      <w:r w:rsidR="007D47C3">
        <w:rPr>
          <w:rFonts w:ascii="Arial" w:hAnsi="Arial" w:cs="Arial"/>
          <w:color w:val="auto"/>
          <w:sz w:val="22"/>
          <w:szCs w:val="22"/>
        </w:rPr>
        <w:t>ed</w:t>
      </w:r>
      <w:r w:rsidR="00DB50B0" w:rsidRPr="00DB50B0">
        <w:rPr>
          <w:rFonts w:ascii="Arial" w:hAnsi="Arial" w:cs="Arial"/>
          <w:color w:val="auto"/>
          <w:sz w:val="22"/>
          <w:szCs w:val="22"/>
        </w:rPr>
        <w:t xml:space="preserve"> è </w:t>
      </w:r>
      <w:r w:rsidR="004358AB">
        <w:rPr>
          <w:rFonts w:ascii="Arial" w:hAnsi="Arial" w:cs="Arial"/>
          <w:color w:val="auto"/>
          <w:sz w:val="22"/>
          <w:szCs w:val="22"/>
        </w:rPr>
        <w:t xml:space="preserve">solo </w:t>
      </w:r>
      <w:r w:rsidR="00DB50B0" w:rsidRPr="00DB50B0">
        <w:rPr>
          <w:rFonts w:ascii="Arial" w:hAnsi="Arial" w:cs="Arial"/>
          <w:color w:val="auto"/>
          <w:sz w:val="22"/>
          <w:szCs w:val="22"/>
        </w:rPr>
        <w:t>marginale nella Produzione di beni intermedi, energia e rifiuti (0,5%).</w:t>
      </w:r>
    </w:p>
    <w:p w:rsidR="00DB50B0" w:rsidRPr="00DB50B0" w:rsidRDefault="004358AB" w:rsidP="00DB50B0">
      <w:pPr>
        <w:pStyle w:val="Default"/>
        <w:spacing w:after="120"/>
        <w:jc w:val="both"/>
        <w:rPr>
          <w:rFonts w:ascii="Arial" w:hAnsi="Arial" w:cs="Arial"/>
          <w:color w:val="auto"/>
          <w:sz w:val="22"/>
          <w:szCs w:val="22"/>
        </w:rPr>
      </w:pPr>
      <w:r>
        <w:rPr>
          <w:rFonts w:ascii="Arial" w:hAnsi="Arial" w:cs="Arial"/>
          <w:color w:val="auto"/>
          <w:sz w:val="22"/>
          <w:szCs w:val="22"/>
        </w:rPr>
        <w:t xml:space="preserve">L’impiego di </w:t>
      </w:r>
      <w:r w:rsidR="000E348B" w:rsidRPr="00DB50B0">
        <w:rPr>
          <w:rFonts w:ascii="Arial" w:hAnsi="Arial" w:cs="Arial"/>
          <w:color w:val="auto"/>
          <w:sz w:val="22"/>
          <w:szCs w:val="22"/>
        </w:rPr>
        <w:t>lavoro irregolare</w:t>
      </w:r>
      <w:r w:rsidR="001C2158">
        <w:rPr>
          <w:rFonts w:ascii="Arial" w:hAnsi="Arial" w:cs="Arial"/>
          <w:color w:val="auto"/>
          <w:sz w:val="22"/>
          <w:szCs w:val="22"/>
        </w:rPr>
        <w:t xml:space="preserve"> ha un peso particolarmente rilevante</w:t>
      </w:r>
      <w:r>
        <w:rPr>
          <w:rFonts w:ascii="Arial" w:hAnsi="Arial" w:cs="Arial"/>
          <w:color w:val="auto"/>
          <w:sz w:val="22"/>
          <w:szCs w:val="22"/>
        </w:rPr>
        <w:t xml:space="preserve">, </w:t>
      </w:r>
      <w:r w:rsidR="001C2158">
        <w:rPr>
          <w:rFonts w:ascii="Arial" w:hAnsi="Arial" w:cs="Arial"/>
          <w:color w:val="auto"/>
          <w:sz w:val="22"/>
          <w:szCs w:val="22"/>
        </w:rPr>
        <w:t>pari</w:t>
      </w:r>
      <w:r w:rsidR="00710108">
        <w:rPr>
          <w:rFonts w:ascii="Arial" w:hAnsi="Arial" w:cs="Arial"/>
          <w:color w:val="auto"/>
          <w:sz w:val="22"/>
          <w:szCs w:val="22"/>
        </w:rPr>
        <w:t xml:space="preserve"> </w:t>
      </w:r>
      <w:r w:rsidR="001C2158">
        <w:rPr>
          <w:rFonts w:ascii="Arial" w:hAnsi="Arial" w:cs="Arial"/>
          <w:color w:val="auto"/>
          <w:sz w:val="22"/>
          <w:szCs w:val="22"/>
        </w:rPr>
        <w:t>a</w:t>
      </w:r>
      <w:r>
        <w:rPr>
          <w:rFonts w:ascii="Arial" w:hAnsi="Arial" w:cs="Arial"/>
          <w:color w:val="auto"/>
          <w:sz w:val="22"/>
          <w:szCs w:val="22"/>
        </w:rPr>
        <w:t>l 22,7% del valore aggiunto</w:t>
      </w:r>
      <w:r w:rsidR="001C2158">
        <w:rPr>
          <w:rFonts w:ascii="Arial" w:hAnsi="Arial" w:cs="Arial"/>
          <w:color w:val="auto"/>
          <w:sz w:val="22"/>
          <w:szCs w:val="22"/>
        </w:rPr>
        <w:t>,</w:t>
      </w:r>
      <w:r>
        <w:rPr>
          <w:rFonts w:ascii="Arial" w:hAnsi="Arial" w:cs="Arial"/>
          <w:color w:val="auto"/>
          <w:sz w:val="22"/>
          <w:szCs w:val="22"/>
        </w:rPr>
        <w:t xml:space="preserve"> negli </w:t>
      </w:r>
      <w:r w:rsidR="000E348B">
        <w:rPr>
          <w:rFonts w:ascii="Arial" w:hAnsi="Arial" w:cs="Arial"/>
          <w:color w:val="auto"/>
          <w:sz w:val="22"/>
          <w:szCs w:val="22"/>
        </w:rPr>
        <w:t xml:space="preserve">Altri servizi </w:t>
      </w:r>
      <w:r w:rsidR="00491942">
        <w:rPr>
          <w:rFonts w:ascii="Arial" w:hAnsi="Arial" w:cs="Arial"/>
          <w:color w:val="auto"/>
          <w:sz w:val="22"/>
          <w:szCs w:val="22"/>
        </w:rPr>
        <w:t xml:space="preserve">per la </w:t>
      </w:r>
      <w:r w:rsidR="000E348B">
        <w:rPr>
          <w:rFonts w:ascii="Arial" w:hAnsi="Arial" w:cs="Arial"/>
          <w:color w:val="auto"/>
          <w:sz w:val="22"/>
          <w:szCs w:val="22"/>
        </w:rPr>
        <w:t>person</w:t>
      </w:r>
      <w:r w:rsidR="00491942">
        <w:rPr>
          <w:rFonts w:ascii="Arial" w:hAnsi="Arial" w:cs="Arial"/>
          <w:color w:val="auto"/>
          <w:sz w:val="22"/>
          <w:szCs w:val="22"/>
        </w:rPr>
        <w:t>a</w:t>
      </w:r>
      <w:r w:rsidR="00C70497">
        <w:rPr>
          <w:rFonts w:ascii="Arial" w:hAnsi="Arial" w:cs="Arial"/>
          <w:color w:val="auto"/>
          <w:sz w:val="22"/>
          <w:szCs w:val="22"/>
        </w:rPr>
        <w:t>,</w:t>
      </w:r>
      <w:r w:rsidR="00D77B51">
        <w:rPr>
          <w:rFonts w:ascii="Arial" w:hAnsi="Arial" w:cs="Arial"/>
          <w:color w:val="auto"/>
          <w:sz w:val="22"/>
          <w:szCs w:val="22"/>
        </w:rPr>
        <w:t xml:space="preserve"> </w:t>
      </w:r>
      <w:r w:rsidR="000E348B" w:rsidRPr="00DB50B0">
        <w:rPr>
          <w:rFonts w:ascii="Arial" w:hAnsi="Arial" w:cs="Arial"/>
          <w:color w:val="auto"/>
          <w:sz w:val="22"/>
          <w:szCs w:val="22"/>
        </w:rPr>
        <w:t>dove è forte l’incidenza del lavoro domestico, mentre</w:t>
      </w:r>
      <w:r>
        <w:rPr>
          <w:rFonts w:ascii="Arial" w:hAnsi="Arial" w:cs="Arial"/>
          <w:color w:val="auto"/>
          <w:sz w:val="22"/>
          <w:szCs w:val="22"/>
        </w:rPr>
        <w:t xml:space="preserve"> il suo contributo </w:t>
      </w:r>
      <w:r w:rsidR="000E348B" w:rsidRPr="00DB50B0">
        <w:rPr>
          <w:rFonts w:ascii="Arial" w:hAnsi="Arial" w:cs="Arial"/>
          <w:color w:val="auto"/>
          <w:sz w:val="22"/>
          <w:szCs w:val="22"/>
        </w:rPr>
        <w:t xml:space="preserve">risulta </w:t>
      </w:r>
      <w:r w:rsidR="001C2158">
        <w:rPr>
          <w:rFonts w:ascii="Arial" w:hAnsi="Arial" w:cs="Arial"/>
          <w:color w:val="auto"/>
          <w:sz w:val="22"/>
          <w:szCs w:val="22"/>
        </w:rPr>
        <w:t>molto limitato</w:t>
      </w:r>
      <w:r w:rsidR="000E348B" w:rsidRPr="00DB50B0">
        <w:rPr>
          <w:rFonts w:ascii="Arial" w:hAnsi="Arial" w:cs="Arial"/>
          <w:color w:val="auto"/>
          <w:sz w:val="22"/>
          <w:szCs w:val="22"/>
        </w:rPr>
        <w:t xml:space="preserve"> nei tre comparti dell’industria in senso stretto (tra l’1,</w:t>
      </w:r>
      <w:r w:rsidR="000E348B">
        <w:rPr>
          <w:rFonts w:ascii="Arial" w:hAnsi="Arial" w:cs="Arial"/>
          <w:color w:val="auto"/>
          <w:sz w:val="22"/>
          <w:szCs w:val="22"/>
        </w:rPr>
        <w:t>1</w:t>
      </w:r>
      <w:r w:rsidR="000E348B" w:rsidRPr="00DB50B0">
        <w:rPr>
          <w:rFonts w:ascii="Arial" w:hAnsi="Arial" w:cs="Arial"/>
          <w:color w:val="auto"/>
          <w:sz w:val="22"/>
          <w:szCs w:val="22"/>
        </w:rPr>
        <w:t>% e il 3</w:t>
      </w:r>
      <w:r w:rsidR="000E348B">
        <w:rPr>
          <w:rFonts w:ascii="Arial" w:hAnsi="Arial" w:cs="Arial"/>
          <w:color w:val="auto"/>
          <w:sz w:val="22"/>
          <w:szCs w:val="22"/>
        </w:rPr>
        <w:t>,0</w:t>
      </w:r>
      <w:r w:rsidR="000E348B" w:rsidRPr="00DB50B0">
        <w:rPr>
          <w:rFonts w:ascii="Arial" w:hAnsi="Arial" w:cs="Arial"/>
          <w:color w:val="auto"/>
          <w:sz w:val="22"/>
          <w:szCs w:val="22"/>
        </w:rPr>
        <w:t>%) e negli Altri servizi alle imprese (</w:t>
      </w:r>
      <w:r w:rsidR="000E348B">
        <w:rPr>
          <w:rFonts w:ascii="Arial" w:hAnsi="Arial" w:cs="Arial"/>
          <w:color w:val="auto"/>
          <w:sz w:val="22"/>
          <w:szCs w:val="22"/>
        </w:rPr>
        <w:t>1,7</w:t>
      </w:r>
      <w:r w:rsidR="000E348B" w:rsidRPr="00DB50B0">
        <w:rPr>
          <w:rFonts w:ascii="Arial" w:hAnsi="Arial" w:cs="Arial"/>
          <w:color w:val="auto"/>
          <w:sz w:val="22"/>
          <w:szCs w:val="22"/>
        </w:rPr>
        <w:t>%).</w:t>
      </w:r>
    </w:p>
    <w:p w:rsidR="000E348B" w:rsidRPr="00DB50B0" w:rsidRDefault="004358AB" w:rsidP="000E348B">
      <w:pPr>
        <w:pStyle w:val="Default"/>
        <w:spacing w:after="120"/>
        <w:jc w:val="both"/>
        <w:rPr>
          <w:rFonts w:ascii="Arial" w:hAnsi="Arial" w:cs="Arial"/>
          <w:color w:val="auto"/>
          <w:sz w:val="22"/>
          <w:szCs w:val="22"/>
        </w:rPr>
      </w:pPr>
      <w:r>
        <w:rPr>
          <w:rFonts w:ascii="Arial" w:hAnsi="Arial" w:cs="Arial"/>
          <w:color w:val="auto"/>
          <w:sz w:val="22"/>
          <w:szCs w:val="22"/>
        </w:rPr>
        <w:t>N</w:t>
      </w:r>
      <w:r w:rsidRPr="00DB50B0">
        <w:rPr>
          <w:rFonts w:ascii="Arial" w:hAnsi="Arial" w:cs="Arial"/>
          <w:color w:val="auto"/>
          <w:sz w:val="22"/>
          <w:szCs w:val="22"/>
        </w:rPr>
        <w:t>el settore primario</w:t>
      </w:r>
      <w:r>
        <w:rPr>
          <w:rFonts w:ascii="Arial" w:hAnsi="Arial" w:cs="Arial"/>
          <w:color w:val="auto"/>
          <w:sz w:val="22"/>
          <w:szCs w:val="22"/>
        </w:rPr>
        <w:t xml:space="preserve"> i</w:t>
      </w:r>
      <w:r w:rsidR="000E348B">
        <w:rPr>
          <w:rFonts w:ascii="Arial" w:hAnsi="Arial" w:cs="Arial"/>
          <w:color w:val="auto"/>
          <w:sz w:val="22"/>
          <w:szCs w:val="22"/>
        </w:rPr>
        <w:t>l valore aggiunto</w:t>
      </w:r>
      <w:r>
        <w:rPr>
          <w:rFonts w:ascii="Arial" w:hAnsi="Arial" w:cs="Arial"/>
          <w:color w:val="auto"/>
          <w:sz w:val="22"/>
          <w:szCs w:val="22"/>
        </w:rPr>
        <w:t xml:space="preserve"> sommerso è</w:t>
      </w:r>
      <w:r w:rsidR="000E348B">
        <w:rPr>
          <w:rFonts w:ascii="Arial" w:hAnsi="Arial" w:cs="Arial"/>
          <w:color w:val="auto"/>
          <w:sz w:val="22"/>
          <w:szCs w:val="22"/>
        </w:rPr>
        <w:t xml:space="preserve"> generato</w:t>
      </w:r>
      <w:r>
        <w:rPr>
          <w:rFonts w:ascii="Arial" w:hAnsi="Arial" w:cs="Arial"/>
          <w:color w:val="auto"/>
          <w:sz w:val="22"/>
          <w:szCs w:val="22"/>
        </w:rPr>
        <w:t xml:space="preserve"> solo</w:t>
      </w:r>
      <w:r w:rsidR="000E348B">
        <w:rPr>
          <w:rFonts w:ascii="Arial" w:hAnsi="Arial" w:cs="Arial"/>
          <w:color w:val="auto"/>
          <w:sz w:val="22"/>
          <w:szCs w:val="22"/>
        </w:rPr>
        <w:t xml:space="preserve"> da</w:t>
      </w:r>
      <w:r>
        <w:rPr>
          <w:rFonts w:ascii="Arial" w:hAnsi="Arial" w:cs="Arial"/>
          <w:color w:val="auto"/>
          <w:sz w:val="22"/>
          <w:szCs w:val="22"/>
        </w:rPr>
        <w:t>ll’impiego di lavoro irregolare</w:t>
      </w:r>
      <w:r w:rsidR="00B27661">
        <w:rPr>
          <w:rStyle w:val="Rimandonotadichiusura"/>
          <w:rFonts w:ascii="Arial" w:hAnsi="Arial" w:cs="Arial"/>
          <w:color w:val="auto"/>
          <w:sz w:val="22"/>
          <w:szCs w:val="22"/>
        </w:rPr>
        <w:endnoteReference w:id="1"/>
      </w:r>
      <w:r w:rsidR="00B27661">
        <w:rPr>
          <w:rFonts w:ascii="Arial" w:hAnsi="Arial" w:cs="Arial"/>
          <w:color w:val="auto"/>
          <w:sz w:val="22"/>
          <w:szCs w:val="22"/>
        </w:rPr>
        <w:t>,</w:t>
      </w:r>
      <w:r>
        <w:rPr>
          <w:rFonts w:ascii="Arial" w:hAnsi="Arial" w:cs="Arial"/>
          <w:color w:val="auto"/>
          <w:sz w:val="22"/>
          <w:szCs w:val="22"/>
        </w:rPr>
        <w:t xml:space="preserve"> che</w:t>
      </w:r>
      <w:r w:rsidR="00710108">
        <w:rPr>
          <w:rFonts w:ascii="Arial" w:hAnsi="Arial" w:cs="Arial"/>
          <w:color w:val="auto"/>
          <w:sz w:val="22"/>
          <w:szCs w:val="22"/>
        </w:rPr>
        <w:t xml:space="preserve"> </w:t>
      </w:r>
      <w:r>
        <w:rPr>
          <w:rFonts w:ascii="Arial" w:hAnsi="Arial" w:cs="Arial"/>
          <w:color w:val="auto"/>
          <w:sz w:val="22"/>
          <w:szCs w:val="22"/>
        </w:rPr>
        <w:t>rappresenta il</w:t>
      </w:r>
      <w:r w:rsidR="00D77B51">
        <w:rPr>
          <w:rFonts w:ascii="Arial" w:hAnsi="Arial" w:cs="Arial"/>
          <w:color w:val="auto"/>
          <w:sz w:val="22"/>
          <w:szCs w:val="22"/>
        </w:rPr>
        <w:t xml:space="preserve"> </w:t>
      </w:r>
      <w:r w:rsidR="000E348B" w:rsidRPr="00DB50B0">
        <w:rPr>
          <w:rFonts w:ascii="Arial" w:hAnsi="Arial" w:cs="Arial"/>
          <w:color w:val="auto"/>
          <w:sz w:val="22"/>
          <w:szCs w:val="22"/>
        </w:rPr>
        <w:t>16,</w:t>
      </w:r>
      <w:r w:rsidR="000E348B">
        <w:rPr>
          <w:rFonts w:ascii="Arial" w:hAnsi="Arial" w:cs="Arial"/>
          <w:color w:val="auto"/>
          <w:sz w:val="22"/>
          <w:szCs w:val="22"/>
        </w:rPr>
        <w:t>9</w:t>
      </w:r>
      <w:r w:rsidR="000E348B" w:rsidRPr="00DB50B0">
        <w:rPr>
          <w:rFonts w:ascii="Arial" w:hAnsi="Arial" w:cs="Arial"/>
          <w:color w:val="auto"/>
          <w:sz w:val="22"/>
          <w:szCs w:val="22"/>
        </w:rPr>
        <w:t>% del totale prodotto dal settore</w:t>
      </w:r>
      <w:r>
        <w:rPr>
          <w:rFonts w:ascii="Arial" w:hAnsi="Arial" w:cs="Arial"/>
          <w:color w:val="auto"/>
          <w:sz w:val="22"/>
          <w:szCs w:val="22"/>
        </w:rPr>
        <w:t>.</w:t>
      </w:r>
    </w:p>
    <w:p w:rsidR="0034411C" w:rsidRDefault="0034411C" w:rsidP="00DB50B0">
      <w:pPr>
        <w:pStyle w:val="Default"/>
        <w:spacing w:after="120"/>
        <w:jc w:val="both"/>
        <w:rPr>
          <w:rFonts w:ascii="Arial" w:hAnsi="Arial" w:cs="Arial"/>
          <w:color w:val="auto"/>
          <w:sz w:val="22"/>
          <w:szCs w:val="22"/>
        </w:rPr>
      </w:pPr>
    </w:p>
    <w:p w:rsidR="00644048" w:rsidRDefault="00644048" w:rsidP="00DB50B0">
      <w:pPr>
        <w:pStyle w:val="Default"/>
        <w:spacing w:after="120"/>
        <w:jc w:val="both"/>
        <w:rPr>
          <w:rFonts w:ascii="Arial" w:hAnsi="Arial" w:cs="Arial"/>
          <w:color w:val="auto"/>
          <w:sz w:val="22"/>
          <w:szCs w:val="22"/>
        </w:rPr>
      </w:pPr>
    </w:p>
    <w:p w:rsidR="00B27661" w:rsidRPr="00C675F7" w:rsidRDefault="00B27661" w:rsidP="0052166B">
      <w:pPr>
        <w:rPr>
          <w:rFonts w:ascii="Arial Black" w:hAnsi="Arial Black" w:cs="Arial"/>
          <w:iCs/>
          <w:noProof/>
          <w:color w:val="1F497D" w:themeColor="text2"/>
          <w:sz w:val="28"/>
          <w:szCs w:val="22"/>
        </w:rPr>
      </w:pPr>
    </w:p>
    <w:p w:rsidR="00B27661" w:rsidRDefault="00B27661" w:rsidP="0052166B">
      <w:pPr>
        <w:rPr>
          <w:rFonts w:ascii="Arial Black" w:hAnsi="Arial Black" w:cs="Arial"/>
          <w:iCs/>
          <w:noProof/>
          <w:color w:val="1F497D" w:themeColor="text2"/>
          <w:sz w:val="22"/>
          <w:szCs w:val="22"/>
        </w:rPr>
      </w:pPr>
    </w:p>
    <w:p w:rsidR="00B55AB6" w:rsidRDefault="00B55AB6" w:rsidP="0052166B">
      <w:pPr>
        <w:rPr>
          <w:rFonts w:ascii="Arial Black" w:hAnsi="Arial Black" w:cs="Arial"/>
          <w:iCs/>
          <w:noProof/>
          <w:color w:val="1F497D" w:themeColor="text2"/>
          <w:sz w:val="22"/>
          <w:szCs w:val="22"/>
        </w:rPr>
      </w:pPr>
    </w:p>
    <w:p w:rsidR="00B55AB6" w:rsidRDefault="00B55AB6" w:rsidP="0052166B">
      <w:pPr>
        <w:rPr>
          <w:rFonts w:ascii="Arial Black" w:hAnsi="Arial Black" w:cs="Arial"/>
          <w:iCs/>
          <w:noProof/>
          <w:color w:val="1F497D" w:themeColor="text2"/>
          <w:sz w:val="22"/>
          <w:szCs w:val="22"/>
        </w:rPr>
      </w:pPr>
    </w:p>
    <w:p w:rsidR="00B55AB6" w:rsidRPr="00B27661" w:rsidRDefault="00B55AB6" w:rsidP="0052166B">
      <w:pPr>
        <w:rPr>
          <w:rFonts w:ascii="Arial Black" w:hAnsi="Arial Black" w:cs="Arial"/>
          <w:iCs/>
          <w:noProof/>
          <w:color w:val="1F497D" w:themeColor="text2"/>
          <w:sz w:val="16"/>
          <w:szCs w:val="22"/>
        </w:rPr>
      </w:pPr>
    </w:p>
    <w:p w:rsidR="00B55AB6" w:rsidRDefault="00B55AB6" w:rsidP="0052166B">
      <w:pPr>
        <w:rPr>
          <w:rFonts w:ascii="Arial Black" w:hAnsi="Arial Black" w:cs="Arial"/>
          <w:iCs/>
          <w:noProof/>
          <w:color w:val="1F497D" w:themeColor="text2"/>
          <w:sz w:val="22"/>
          <w:szCs w:val="22"/>
        </w:rPr>
      </w:pPr>
    </w:p>
    <w:p w:rsidR="0052166B" w:rsidRPr="0052166B" w:rsidRDefault="0078797B" w:rsidP="0052166B">
      <w:pPr>
        <w:rPr>
          <w:rFonts w:ascii="Arial Narrow" w:hAnsi="Arial Narrow" w:cs="Arial"/>
          <w:b/>
          <w:iCs/>
          <w:noProof/>
          <w:color w:val="1F497D" w:themeColor="text2"/>
          <w:sz w:val="22"/>
          <w:szCs w:val="22"/>
        </w:rPr>
      </w:pPr>
      <w:r w:rsidRPr="00E80B57">
        <w:rPr>
          <w:rFonts w:ascii="Arial Black" w:hAnsi="Arial Black" w:cs="Arial"/>
          <w:iCs/>
          <w:noProof/>
          <w:color w:val="1F497D" w:themeColor="text2"/>
          <w:sz w:val="22"/>
          <w:szCs w:val="22"/>
        </w:rPr>
        <w:t xml:space="preserve">FIGURA </w:t>
      </w:r>
      <w:r>
        <w:rPr>
          <w:rFonts w:ascii="Arial Black" w:hAnsi="Arial Black" w:cs="Arial"/>
          <w:iCs/>
          <w:noProof/>
          <w:color w:val="1F497D" w:themeColor="text2"/>
          <w:sz w:val="22"/>
          <w:szCs w:val="22"/>
        </w:rPr>
        <w:t>2</w:t>
      </w:r>
      <w:r w:rsidRPr="00E80B57">
        <w:rPr>
          <w:rFonts w:ascii="Arial Black" w:hAnsi="Arial Black" w:cs="Arial"/>
          <w:iCs/>
          <w:noProof/>
          <w:color w:val="1F497D" w:themeColor="text2"/>
          <w:sz w:val="22"/>
          <w:szCs w:val="22"/>
        </w:rPr>
        <w:t>.</w:t>
      </w:r>
      <w:r w:rsidR="00C675F7">
        <w:rPr>
          <w:rFonts w:ascii="Arial Black" w:hAnsi="Arial Black" w:cs="Arial"/>
          <w:iCs/>
          <w:noProof/>
          <w:color w:val="1F497D" w:themeColor="text2"/>
          <w:sz w:val="22"/>
          <w:szCs w:val="22"/>
        </w:rPr>
        <w:t xml:space="preserve"> </w:t>
      </w:r>
      <w:r w:rsidR="0052166B" w:rsidRPr="0052166B">
        <w:rPr>
          <w:rFonts w:ascii="Arial Narrow" w:hAnsi="Arial Narrow" w:cs="Arial"/>
          <w:b/>
          <w:iCs/>
          <w:noProof/>
          <w:color w:val="1F497D" w:themeColor="text2"/>
          <w:sz w:val="22"/>
          <w:szCs w:val="22"/>
        </w:rPr>
        <w:t xml:space="preserve">INCIDENZA DELLE COMPONENTI DELL’ECONOMIA SOMMERSA SUL VALORE AGGIUNTO </w:t>
      </w:r>
    </w:p>
    <w:p w:rsidR="00644048" w:rsidRDefault="0052166B" w:rsidP="0078797B">
      <w:pPr>
        <w:rPr>
          <w:rFonts w:ascii="Arial Narrow" w:hAnsi="Arial Narrow" w:cs="Arial"/>
          <w:iCs/>
          <w:noProof/>
          <w:color w:val="1F497D" w:themeColor="text2"/>
          <w:sz w:val="22"/>
          <w:szCs w:val="22"/>
        </w:rPr>
      </w:pPr>
      <w:r w:rsidRPr="0052166B">
        <w:rPr>
          <w:rFonts w:ascii="Arial Narrow" w:hAnsi="Arial Narrow" w:cs="Arial"/>
          <w:b/>
          <w:iCs/>
          <w:noProof/>
          <w:color w:val="1F497D" w:themeColor="text2"/>
          <w:sz w:val="22"/>
          <w:szCs w:val="22"/>
        </w:rPr>
        <w:t>P</w:t>
      </w:r>
      <w:r>
        <w:rPr>
          <w:rFonts w:ascii="Arial Narrow" w:hAnsi="Arial Narrow" w:cs="Arial"/>
          <w:b/>
          <w:iCs/>
          <w:noProof/>
          <w:color w:val="1F497D" w:themeColor="text2"/>
          <w:sz w:val="22"/>
          <w:szCs w:val="22"/>
        </w:rPr>
        <w:t>ER ATTIVITÀ ECONOMICA</w:t>
      </w:r>
      <w:r w:rsidR="00313F7B">
        <w:rPr>
          <w:rFonts w:ascii="Arial Narrow" w:hAnsi="Arial Narrow" w:cs="Arial"/>
          <w:b/>
          <w:iCs/>
          <w:noProof/>
          <w:color w:val="1F497D" w:themeColor="text2"/>
          <w:sz w:val="22"/>
          <w:szCs w:val="22"/>
        </w:rPr>
        <w:t>.</w:t>
      </w:r>
      <w:r w:rsidR="00C675F7">
        <w:rPr>
          <w:rFonts w:ascii="Arial Narrow" w:hAnsi="Arial Narrow" w:cs="Arial"/>
          <w:b/>
          <w:iCs/>
          <w:noProof/>
          <w:color w:val="1F497D" w:themeColor="text2"/>
          <w:sz w:val="22"/>
          <w:szCs w:val="22"/>
        </w:rPr>
        <w:t xml:space="preserve"> </w:t>
      </w:r>
      <w:r w:rsidRPr="0052166B">
        <w:rPr>
          <w:rFonts w:ascii="Arial Narrow" w:hAnsi="Arial Narrow" w:cs="Arial"/>
          <w:iCs/>
          <w:noProof/>
          <w:color w:val="1F497D" w:themeColor="text2"/>
          <w:sz w:val="22"/>
          <w:szCs w:val="22"/>
        </w:rPr>
        <w:t>Anno 2017, valori percentuali</w:t>
      </w:r>
    </w:p>
    <w:p w:rsidR="00B27661" w:rsidRPr="00B27661" w:rsidRDefault="00B27661" w:rsidP="0078797B">
      <w:pPr>
        <w:rPr>
          <w:rFonts w:ascii="Arial Narrow" w:hAnsi="Arial Narrow" w:cs="Arial"/>
          <w:iCs/>
          <w:noProof/>
          <w:color w:val="1F497D" w:themeColor="text2"/>
          <w:sz w:val="18"/>
          <w:szCs w:val="22"/>
        </w:rPr>
      </w:pPr>
    </w:p>
    <w:p w:rsidR="0078797B" w:rsidRDefault="00934608" w:rsidP="0078797B">
      <w:pPr>
        <w:rPr>
          <w:rFonts w:ascii="Arial Narrow" w:hAnsi="Arial Narrow" w:cs="Arial"/>
          <w:i/>
          <w:iCs/>
          <w:noProof/>
          <w:color w:val="1F497D" w:themeColor="text2"/>
          <w:sz w:val="18"/>
          <w:szCs w:val="22"/>
        </w:rPr>
      </w:pPr>
      <w:r>
        <w:rPr>
          <w:rFonts w:ascii="Arial Narrow" w:hAnsi="Arial Narrow" w:cs="Arial"/>
          <w:i/>
          <w:iCs/>
          <w:noProof/>
          <w:color w:val="1F497D" w:themeColor="text2"/>
          <w:sz w:val="22"/>
          <w:szCs w:val="22"/>
        </w:rPr>
        <mc:AlternateContent>
          <mc:Choice Requires="wps">
            <w:drawing>
              <wp:anchor distT="0" distB="0" distL="114300" distR="114300" simplePos="0" relativeHeight="251687936" behindDoc="0" locked="0" layoutInCell="1" allowOverlap="1">
                <wp:simplePos x="0" y="0"/>
                <wp:positionH relativeFrom="column">
                  <wp:posOffset>1607185</wp:posOffset>
                </wp:positionH>
                <wp:positionV relativeFrom="paragraph">
                  <wp:posOffset>148590</wp:posOffset>
                </wp:positionV>
                <wp:extent cx="209550" cy="20828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08280"/>
                        </a:xfrm>
                        <a:prstGeom prst="rect">
                          <a:avLst/>
                        </a:prstGeom>
                        <a:solidFill>
                          <a:srgbClr val="FFFFFF">
                            <a:alpha val="0"/>
                          </a:srgbClr>
                        </a:solidFill>
                        <a:ln w="9525">
                          <a:noFill/>
                          <a:miter lim="800000"/>
                          <a:headEnd/>
                          <a:tailEnd/>
                        </a:ln>
                      </wps:spPr>
                      <wps:txbx>
                        <w:txbxContent>
                          <w:p w:rsidR="00DC4941" w:rsidRPr="00DC4941" w:rsidRDefault="00DC4941">
                            <w:pPr>
                              <w:rPr>
                                <w:rFonts w:ascii="Arial Narrow" w:hAnsi="Arial Narrow"/>
                                <w:sz w:val="16"/>
                                <w:szCs w:val="16"/>
                              </w:rPr>
                            </w:pPr>
                            <w:r w:rsidRPr="00DC4941">
                              <w:rPr>
                                <w:rFonts w:ascii="Arial Narrow" w:hAnsi="Arial Narrow"/>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26.55pt;margin-top:11.7pt;width:16.5pt;height:16.4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" stroked="f">
                <v:fill opacity="0"/>
                <v:textbox style="mso-fit-shape-to-text:t">
                  <w:txbxContent>
                    <w:p w:rsidR="00DC4941" w:rsidRPr="00DC4941" w:rsidRDefault="00DC4941">
                      <w:pPr>
                        <w:rPr>
                          <w:rFonts w:ascii="Arial Narrow" w:hAnsi="Arial Narrow"/>
                          <w:sz w:val="16"/>
                          <w:szCs w:val="16"/>
                        </w:rPr>
                      </w:pPr>
                      <w:r w:rsidRPr="00DC4941">
                        <w:rPr>
                          <w:rFonts w:ascii="Arial Narrow" w:hAnsi="Arial Narrow"/>
                          <w:sz w:val="16"/>
                          <w:szCs w:val="16"/>
                        </w:rPr>
                        <w:t>%</w:t>
                      </w:r>
                    </w:p>
                  </w:txbxContent>
                </v:textbox>
              </v:shape>
            </w:pict>
          </mc:Fallback>
        </mc:AlternateContent>
      </w:r>
      <w:r w:rsidR="007A5E3F">
        <w:rPr>
          <w:noProof/>
        </w:rPr>
        <w:drawing>
          <wp:inline distT="0" distB="0" distL="0" distR="0" wp14:anchorId="63E6BE3F" wp14:editId="261D701F">
            <wp:extent cx="6301498" cy="2362544"/>
            <wp:effectExtent l="0" t="0" r="0" b="0"/>
            <wp:docPr id="3"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8797B" w:rsidRDefault="0078797B" w:rsidP="0078797B">
      <w:pPr>
        <w:rPr>
          <w:rFonts w:ascii="Arial Black" w:hAnsi="Arial Black" w:cs="Arial"/>
          <w:iCs/>
          <w:noProof/>
          <w:color w:val="1F497D" w:themeColor="text2"/>
          <w:sz w:val="22"/>
          <w:szCs w:val="22"/>
        </w:rPr>
      </w:pPr>
    </w:p>
    <w:p w:rsidR="00B55AB6" w:rsidRDefault="00B55AB6" w:rsidP="00B55AB6">
      <w:pPr>
        <w:spacing w:after="120"/>
        <w:jc w:val="both"/>
        <w:outlineLvl w:val="0"/>
        <w:rPr>
          <w:rFonts w:ascii="Arial" w:hAnsi="Arial" w:cs="Arial"/>
          <w:b/>
          <w:color w:val="1F497D" w:themeColor="text2"/>
          <w:sz w:val="26"/>
          <w:szCs w:val="26"/>
        </w:rPr>
      </w:pPr>
      <w:r>
        <w:rPr>
          <w:rFonts w:ascii="Arial" w:hAnsi="Arial" w:cs="Arial"/>
          <w:b/>
          <w:color w:val="1F497D" w:themeColor="text2"/>
          <w:sz w:val="26"/>
          <w:szCs w:val="26"/>
        </w:rPr>
        <w:t>Oltre il 40% del sommerso concentrato in un unico settore</w:t>
      </w:r>
    </w:p>
    <w:p w:rsidR="00B55AB6" w:rsidRPr="00EE0CA3" w:rsidRDefault="00B55AB6" w:rsidP="00B55AB6">
      <w:pPr>
        <w:spacing w:after="120"/>
        <w:jc w:val="both"/>
        <w:outlineLvl w:val="0"/>
        <w:rPr>
          <w:rFonts w:ascii="Arial" w:hAnsi="Arial" w:cs="Arial"/>
          <w:b/>
          <w:color w:val="1F497D" w:themeColor="text2"/>
          <w:sz w:val="8"/>
          <w:szCs w:val="8"/>
        </w:rPr>
      </w:pPr>
    </w:p>
    <w:p w:rsidR="00B55AB6" w:rsidRDefault="00B55AB6" w:rsidP="00B55AB6">
      <w:pPr>
        <w:jc w:val="both"/>
        <w:rPr>
          <w:rFonts w:ascii="Arial" w:hAnsi="Arial" w:cs="Arial"/>
          <w:sz w:val="22"/>
          <w:szCs w:val="22"/>
        </w:rPr>
      </w:pPr>
      <w:r w:rsidRPr="00046CB1">
        <w:rPr>
          <w:rFonts w:ascii="Arial" w:hAnsi="Arial" w:cs="Arial"/>
          <w:sz w:val="22"/>
          <w:szCs w:val="22"/>
        </w:rPr>
        <w:t>Il confronto fra le distribuzioni settoriali del valore aggiunto complessivo e di quello generato dall’economia sommersa può essere interpretato, per ogni comparto, come un indicatore dell’incidenza relativa del ricorso al sommerso (Figura 3).</w:t>
      </w:r>
    </w:p>
    <w:p w:rsidR="00B55AB6" w:rsidRPr="00046CB1" w:rsidRDefault="00B55AB6" w:rsidP="00B55AB6">
      <w:pPr>
        <w:jc w:val="both"/>
        <w:rPr>
          <w:rFonts w:ascii="Arial" w:hAnsi="Arial" w:cs="Arial"/>
          <w:sz w:val="22"/>
          <w:szCs w:val="22"/>
        </w:rPr>
      </w:pPr>
    </w:p>
    <w:p w:rsidR="0048670F" w:rsidRDefault="00B55AB6" w:rsidP="00B55AB6">
      <w:pPr>
        <w:jc w:val="both"/>
        <w:rPr>
          <w:rFonts w:ascii="Arial" w:hAnsi="Arial" w:cs="Arial"/>
          <w:sz w:val="22"/>
          <w:szCs w:val="22"/>
        </w:rPr>
      </w:pPr>
      <w:r w:rsidRPr="00046CB1">
        <w:rPr>
          <w:rFonts w:ascii="Arial" w:hAnsi="Arial" w:cs="Arial"/>
          <w:sz w:val="22"/>
          <w:szCs w:val="22"/>
        </w:rPr>
        <w:t xml:space="preserve">Il </w:t>
      </w:r>
      <w:r>
        <w:rPr>
          <w:rFonts w:ascii="Arial" w:hAnsi="Arial" w:cs="Arial"/>
          <w:sz w:val="22"/>
          <w:szCs w:val="22"/>
        </w:rPr>
        <w:t>41</w:t>
      </w:r>
      <w:r w:rsidRPr="00046CB1">
        <w:rPr>
          <w:rFonts w:ascii="Arial" w:hAnsi="Arial" w:cs="Arial"/>
          <w:sz w:val="22"/>
          <w:szCs w:val="22"/>
        </w:rPr>
        <w:t>,</w:t>
      </w:r>
      <w:r>
        <w:rPr>
          <w:rFonts w:ascii="Arial" w:hAnsi="Arial" w:cs="Arial"/>
          <w:sz w:val="22"/>
          <w:szCs w:val="22"/>
        </w:rPr>
        <w:t>7</w:t>
      </w:r>
      <w:r w:rsidRPr="00046CB1">
        <w:rPr>
          <w:rFonts w:ascii="Arial" w:hAnsi="Arial" w:cs="Arial"/>
          <w:sz w:val="22"/>
          <w:szCs w:val="22"/>
        </w:rPr>
        <w:t xml:space="preserve">% </w:t>
      </w:r>
      <w:r>
        <w:rPr>
          <w:rFonts w:ascii="Arial" w:hAnsi="Arial" w:cs="Arial"/>
          <w:sz w:val="22"/>
          <w:szCs w:val="22"/>
        </w:rPr>
        <w:t xml:space="preserve">del </w:t>
      </w:r>
      <w:r w:rsidRPr="00046CB1">
        <w:rPr>
          <w:rFonts w:ascii="Arial" w:hAnsi="Arial" w:cs="Arial"/>
          <w:sz w:val="22"/>
          <w:szCs w:val="22"/>
        </w:rPr>
        <w:t xml:space="preserve">sommerso economico si </w:t>
      </w:r>
      <w:r>
        <w:rPr>
          <w:rFonts w:ascii="Arial" w:hAnsi="Arial" w:cs="Arial"/>
          <w:sz w:val="22"/>
          <w:szCs w:val="22"/>
        </w:rPr>
        <w:t>concentra</w:t>
      </w:r>
      <w:r w:rsidR="00710108">
        <w:rPr>
          <w:rFonts w:ascii="Arial" w:hAnsi="Arial" w:cs="Arial"/>
          <w:sz w:val="22"/>
          <w:szCs w:val="22"/>
        </w:rPr>
        <w:t xml:space="preserve"> </w:t>
      </w:r>
      <w:r>
        <w:rPr>
          <w:rFonts w:ascii="Arial" w:hAnsi="Arial" w:cs="Arial"/>
          <w:sz w:val="22"/>
          <w:szCs w:val="22"/>
        </w:rPr>
        <w:t xml:space="preserve">nel settore del </w:t>
      </w:r>
      <w:r w:rsidRPr="00046CB1">
        <w:rPr>
          <w:rFonts w:ascii="Arial" w:hAnsi="Arial" w:cs="Arial"/>
          <w:sz w:val="22"/>
          <w:szCs w:val="22"/>
        </w:rPr>
        <w:t>Commercio</w:t>
      </w:r>
      <w:r w:rsidR="0048670F">
        <w:rPr>
          <w:rFonts w:ascii="Arial" w:hAnsi="Arial" w:cs="Arial"/>
          <w:sz w:val="22"/>
          <w:szCs w:val="22"/>
        </w:rPr>
        <w:t xml:space="preserve"> all’ingrosso e al dettaglio</w:t>
      </w:r>
      <w:r w:rsidRPr="00046CB1">
        <w:rPr>
          <w:rFonts w:ascii="Arial" w:hAnsi="Arial" w:cs="Arial"/>
          <w:sz w:val="22"/>
          <w:szCs w:val="22"/>
        </w:rPr>
        <w:t>, trasporti</w:t>
      </w:r>
      <w:r w:rsidR="0048670F">
        <w:rPr>
          <w:rFonts w:ascii="Arial" w:hAnsi="Arial" w:cs="Arial"/>
          <w:sz w:val="22"/>
          <w:szCs w:val="22"/>
        </w:rPr>
        <w:t xml:space="preserve"> e magazzinaggio</w:t>
      </w:r>
      <w:r w:rsidRPr="00046CB1">
        <w:rPr>
          <w:rFonts w:ascii="Arial" w:hAnsi="Arial" w:cs="Arial"/>
          <w:sz w:val="22"/>
          <w:szCs w:val="22"/>
        </w:rPr>
        <w:t xml:space="preserve">, </w:t>
      </w:r>
      <w:r w:rsidR="0048670F">
        <w:rPr>
          <w:rFonts w:ascii="Arial" w:hAnsi="Arial" w:cs="Arial"/>
          <w:sz w:val="22"/>
          <w:szCs w:val="22"/>
        </w:rPr>
        <w:t xml:space="preserve">attività di </w:t>
      </w:r>
      <w:r w:rsidRPr="00046CB1">
        <w:rPr>
          <w:rFonts w:ascii="Arial" w:hAnsi="Arial" w:cs="Arial"/>
          <w:sz w:val="22"/>
          <w:szCs w:val="22"/>
        </w:rPr>
        <w:t>alloggio e ristorazione</w:t>
      </w:r>
      <w:r>
        <w:rPr>
          <w:rFonts w:ascii="Arial" w:hAnsi="Arial" w:cs="Arial"/>
          <w:sz w:val="22"/>
          <w:szCs w:val="22"/>
        </w:rPr>
        <w:t xml:space="preserve">, dove si genera il </w:t>
      </w:r>
      <w:r w:rsidRPr="00046CB1">
        <w:rPr>
          <w:rFonts w:ascii="Arial" w:hAnsi="Arial" w:cs="Arial"/>
          <w:sz w:val="22"/>
          <w:szCs w:val="22"/>
        </w:rPr>
        <w:t>2</w:t>
      </w:r>
      <w:r>
        <w:rPr>
          <w:rFonts w:ascii="Arial" w:hAnsi="Arial" w:cs="Arial"/>
          <w:sz w:val="22"/>
          <w:szCs w:val="22"/>
        </w:rPr>
        <w:t>1</w:t>
      </w:r>
      <w:r w:rsidRPr="00046CB1">
        <w:rPr>
          <w:rFonts w:ascii="Arial" w:hAnsi="Arial" w:cs="Arial"/>
          <w:sz w:val="22"/>
          <w:szCs w:val="22"/>
        </w:rPr>
        <w:t>,</w:t>
      </w:r>
      <w:r>
        <w:rPr>
          <w:rFonts w:ascii="Arial" w:hAnsi="Arial" w:cs="Arial"/>
          <w:sz w:val="22"/>
          <w:szCs w:val="22"/>
        </w:rPr>
        <w:t>4</w:t>
      </w:r>
      <w:r w:rsidRPr="00046CB1">
        <w:rPr>
          <w:rFonts w:ascii="Arial" w:hAnsi="Arial" w:cs="Arial"/>
          <w:sz w:val="22"/>
          <w:szCs w:val="22"/>
        </w:rPr>
        <w:t>% del valore aggiunto totale</w:t>
      </w:r>
      <w:r>
        <w:rPr>
          <w:rFonts w:ascii="Arial" w:hAnsi="Arial" w:cs="Arial"/>
          <w:sz w:val="22"/>
          <w:szCs w:val="22"/>
        </w:rPr>
        <w:t xml:space="preserve">. </w:t>
      </w:r>
    </w:p>
    <w:p w:rsidR="000172AE" w:rsidRDefault="000172AE" w:rsidP="00B55AB6">
      <w:pPr>
        <w:jc w:val="both"/>
        <w:rPr>
          <w:rFonts w:ascii="Arial" w:hAnsi="Arial" w:cs="Arial"/>
          <w:sz w:val="22"/>
          <w:szCs w:val="22"/>
        </w:rPr>
      </w:pPr>
    </w:p>
    <w:p w:rsidR="00B55AB6" w:rsidRDefault="000172AE" w:rsidP="00B55AB6">
      <w:pPr>
        <w:jc w:val="both"/>
        <w:rPr>
          <w:rFonts w:ascii="Arial" w:hAnsi="Arial" w:cs="Arial"/>
          <w:sz w:val="22"/>
          <w:szCs w:val="22"/>
        </w:rPr>
      </w:pPr>
      <w:r>
        <w:rPr>
          <w:rFonts w:ascii="Arial" w:hAnsi="Arial" w:cs="Arial"/>
          <w:sz w:val="22"/>
          <w:szCs w:val="22"/>
        </w:rPr>
        <w:t>A</w:t>
      </w:r>
      <w:r w:rsidR="00B55AB6">
        <w:rPr>
          <w:rFonts w:ascii="Arial" w:hAnsi="Arial" w:cs="Arial"/>
          <w:sz w:val="22"/>
          <w:szCs w:val="22"/>
        </w:rPr>
        <w:t>nalogamente</w:t>
      </w:r>
      <w:r w:rsidR="0048670F">
        <w:rPr>
          <w:rFonts w:ascii="Arial" w:hAnsi="Arial" w:cs="Arial"/>
          <w:sz w:val="22"/>
          <w:szCs w:val="22"/>
        </w:rPr>
        <w:t xml:space="preserve"> l’incidenza relativa del ricorso al sommerso </w:t>
      </w:r>
      <w:r>
        <w:rPr>
          <w:rFonts w:ascii="Arial" w:hAnsi="Arial" w:cs="Arial"/>
          <w:sz w:val="22"/>
          <w:szCs w:val="22"/>
        </w:rPr>
        <w:t>è alta negli</w:t>
      </w:r>
      <w:r w:rsidR="00B55AB6">
        <w:rPr>
          <w:rFonts w:ascii="Arial" w:hAnsi="Arial" w:cs="Arial"/>
          <w:sz w:val="22"/>
          <w:szCs w:val="22"/>
        </w:rPr>
        <w:t xml:space="preserve"> Altri servizi </w:t>
      </w:r>
      <w:r>
        <w:rPr>
          <w:rFonts w:ascii="Arial" w:hAnsi="Arial" w:cs="Arial"/>
          <w:sz w:val="22"/>
          <w:szCs w:val="22"/>
        </w:rPr>
        <w:t>alle</w:t>
      </w:r>
      <w:r w:rsidR="00B55AB6">
        <w:rPr>
          <w:rFonts w:ascii="Arial" w:hAnsi="Arial" w:cs="Arial"/>
          <w:sz w:val="22"/>
          <w:szCs w:val="22"/>
        </w:rPr>
        <w:t xml:space="preserve"> person</w:t>
      </w:r>
      <w:r>
        <w:rPr>
          <w:rFonts w:ascii="Arial" w:hAnsi="Arial" w:cs="Arial"/>
          <w:sz w:val="22"/>
          <w:szCs w:val="22"/>
        </w:rPr>
        <w:t>e</w:t>
      </w:r>
      <w:r w:rsidR="00710108">
        <w:rPr>
          <w:rFonts w:ascii="Arial" w:hAnsi="Arial" w:cs="Arial"/>
          <w:sz w:val="22"/>
          <w:szCs w:val="22"/>
        </w:rPr>
        <w:t xml:space="preserve"> </w:t>
      </w:r>
      <w:r>
        <w:rPr>
          <w:rFonts w:ascii="Arial" w:hAnsi="Arial" w:cs="Arial"/>
          <w:sz w:val="22"/>
          <w:szCs w:val="22"/>
        </w:rPr>
        <w:t>ed è pari al</w:t>
      </w:r>
      <w:r w:rsidR="00B55AB6">
        <w:rPr>
          <w:rFonts w:ascii="Arial" w:hAnsi="Arial" w:cs="Arial"/>
          <w:sz w:val="22"/>
          <w:szCs w:val="22"/>
        </w:rPr>
        <w:t xml:space="preserve"> 12,3% del sommerso economico, pur contribuendo </w:t>
      </w:r>
      <w:r>
        <w:rPr>
          <w:rFonts w:ascii="Arial" w:hAnsi="Arial" w:cs="Arial"/>
          <w:sz w:val="22"/>
          <w:szCs w:val="22"/>
        </w:rPr>
        <w:t xml:space="preserve">il settore </w:t>
      </w:r>
      <w:r w:rsidR="00B55AB6">
        <w:rPr>
          <w:rFonts w:ascii="Arial" w:hAnsi="Arial" w:cs="Arial"/>
          <w:sz w:val="22"/>
          <w:szCs w:val="22"/>
        </w:rPr>
        <w:t>solo per il 4,1% alla formazione del valore aggiunto</w:t>
      </w:r>
      <w:r>
        <w:rPr>
          <w:rFonts w:ascii="Arial" w:hAnsi="Arial" w:cs="Arial"/>
          <w:sz w:val="22"/>
          <w:szCs w:val="22"/>
        </w:rPr>
        <w:t xml:space="preserve"> totale</w:t>
      </w:r>
      <w:r w:rsidR="00B55AB6">
        <w:rPr>
          <w:rFonts w:ascii="Arial" w:hAnsi="Arial" w:cs="Arial"/>
          <w:sz w:val="22"/>
          <w:szCs w:val="22"/>
        </w:rPr>
        <w:t>.</w:t>
      </w:r>
    </w:p>
    <w:p w:rsidR="00B55AB6" w:rsidRPr="00046CB1" w:rsidRDefault="00B55AB6" w:rsidP="00B55AB6">
      <w:pPr>
        <w:jc w:val="both"/>
        <w:rPr>
          <w:rFonts w:ascii="Arial" w:hAnsi="Arial" w:cs="Arial"/>
          <w:sz w:val="22"/>
          <w:szCs w:val="22"/>
        </w:rPr>
      </w:pPr>
    </w:p>
    <w:p w:rsidR="0048670F" w:rsidRDefault="00B55AB6" w:rsidP="00B55AB6">
      <w:pPr>
        <w:jc w:val="both"/>
        <w:rPr>
          <w:rFonts w:ascii="Arial" w:hAnsi="Arial" w:cs="Arial"/>
          <w:sz w:val="22"/>
          <w:szCs w:val="22"/>
        </w:rPr>
      </w:pPr>
      <w:r w:rsidRPr="00046CB1">
        <w:rPr>
          <w:rFonts w:ascii="Arial" w:hAnsi="Arial" w:cs="Arial"/>
          <w:sz w:val="22"/>
          <w:szCs w:val="22"/>
        </w:rPr>
        <w:t>All’opposto, il settore degli Altri servizi alle imprese contribuisce al valore aggiunto dell’intera economia per il 27,</w:t>
      </w:r>
      <w:r>
        <w:rPr>
          <w:rFonts w:ascii="Arial" w:hAnsi="Arial" w:cs="Arial"/>
          <w:sz w:val="22"/>
          <w:szCs w:val="22"/>
        </w:rPr>
        <w:t>2</w:t>
      </w:r>
      <w:r w:rsidRPr="00046CB1">
        <w:rPr>
          <w:rFonts w:ascii="Arial" w:hAnsi="Arial" w:cs="Arial"/>
          <w:sz w:val="22"/>
          <w:szCs w:val="22"/>
        </w:rPr>
        <w:t>% mentre il suo peso in termini di sommerso è del 1</w:t>
      </w:r>
      <w:r>
        <w:rPr>
          <w:rFonts w:ascii="Arial" w:hAnsi="Arial" w:cs="Arial"/>
          <w:sz w:val="22"/>
          <w:szCs w:val="22"/>
        </w:rPr>
        <w:t>2</w:t>
      </w:r>
      <w:r w:rsidRPr="00046CB1">
        <w:rPr>
          <w:rFonts w:ascii="Arial" w:hAnsi="Arial" w:cs="Arial"/>
          <w:sz w:val="22"/>
          <w:szCs w:val="22"/>
        </w:rPr>
        <w:t>,</w:t>
      </w:r>
      <w:r>
        <w:rPr>
          <w:rFonts w:ascii="Arial" w:hAnsi="Arial" w:cs="Arial"/>
          <w:sz w:val="22"/>
          <w:szCs w:val="22"/>
        </w:rPr>
        <w:t>7</w:t>
      </w:r>
      <w:r w:rsidR="0048670F">
        <w:rPr>
          <w:rFonts w:ascii="Arial" w:hAnsi="Arial" w:cs="Arial"/>
          <w:sz w:val="22"/>
          <w:szCs w:val="22"/>
        </w:rPr>
        <w:t>%.</w:t>
      </w:r>
    </w:p>
    <w:p w:rsidR="000172AE" w:rsidRDefault="000172AE" w:rsidP="00B55AB6">
      <w:pPr>
        <w:jc w:val="both"/>
        <w:rPr>
          <w:rFonts w:ascii="Arial" w:hAnsi="Arial" w:cs="Arial"/>
          <w:sz w:val="22"/>
          <w:szCs w:val="22"/>
        </w:rPr>
      </w:pPr>
    </w:p>
    <w:p w:rsidR="00B55AB6" w:rsidRDefault="00B55AB6" w:rsidP="00B55AB6">
      <w:pPr>
        <w:jc w:val="both"/>
        <w:rPr>
          <w:rFonts w:ascii="Arial" w:hAnsi="Arial" w:cs="Arial"/>
          <w:sz w:val="22"/>
          <w:szCs w:val="22"/>
        </w:rPr>
      </w:pPr>
      <w:r>
        <w:rPr>
          <w:rFonts w:ascii="Arial" w:hAnsi="Arial" w:cs="Arial"/>
          <w:sz w:val="22"/>
          <w:szCs w:val="22"/>
        </w:rPr>
        <w:t>Anche l</w:t>
      </w:r>
      <w:r w:rsidRPr="00046CB1">
        <w:rPr>
          <w:rFonts w:ascii="Arial" w:hAnsi="Arial" w:cs="Arial"/>
          <w:sz w:val="22"/>
          <w:szCs w:val="22"/>
        </w:rPr>
        <w:t>e attività di Produzione di beni intermedi e</w:t>
      </w:r>
      <w:r w:rsidR="000172AE">
        <w:rPr>
          <w:rFonts w:ascii="Arial" w:hAnsi="Arial" w:cs="Arial"/>
          <w:sz w:val="22"/>
          <w:szCs w:val="22"/>
        </w:rPr>
        <w:t xml:space="preserve"> le attività di Produzione </w:t>
      </w:r>
      <w:r w:rsidRPr="00046CB1">
        <w:rPr>
          <w:rFonts w:ascii="Arial" w:hAnsi="Arial" w:cs="Arial"/>
          <w:sz w:val="22"/>
          <w:szCs w:val="22"/>
        </w:rPr>
        <w:t xml:space="preserve">di </w:t>
      </w:r>
      <w:r w:rsidR="000172AE">
        <w:rPr>
          <w:rFonts w:ascii="Arial" w:hAnsi="Arial" w:cs="Arial"/>
          <w:sz w:val="22"/>
          <w:szCs w:val="22"/>
        </w:rPr>
        <w:t xml:space="preserve">beni di </w:t>
      </w:r>
      <w:r w:rsidRPr="00046CB1">
        <w:rPr>
          <w:rFonts w:ascii="Arial" w:hAnsi="Arial" w:cs="Arial"/>
          <w:sz w:val="22"/>
          <w:szCs w:val="22"/>
        </w:rPr>
        <w:t xml:space="preserve">investimento contribuiscono all’economia sommersa in misura </w:t>
      </w:r>
      <w:r>
        <w:rPr>
          <w:rFonts w:ascii="Arial" w:hAnsi="Arial" w:cs="Arial"/>
          <w:sz w:val="22"/>
          <w:szCs w:val="22"/>
        </w:rPr>
        <w:t>più</w:t>
      </w:r>
      <w:r w:rsidR="00710108">
        <w:rPr>
          <w:rFonts w:ascii="Arial" w:hAnsi="Arial" w:cs="Arial"/>
          <w:sz w:val="22"/>
          <w:szCs w:val="22"/>
        </w:rPr>
        <w:t xml:space="preserve"> </w:t>
      </w:r>
      <w:r>
        <w:rPr>
          <w:rFonts w:ascii="Arial" w:hAnsi="Arial" w:cs="Arial"/>
          <w:sz w:val="22"/>
          <w:szCs w:val="22"/>
        </w:rPr>
        <w:t>ridotta</w:t>
      </w:r>
      <w:r w:rsidRPr="00046CB1">
        <w:rPr>
          <w:rFonts w:ascii="Arial" w:hAnsi="Arial" w:cs="Arial"/>
          <w:sz w:val="22"/>
          <w:szCs w:val="22"/>
        </w:rPr>
        <w:t xml:space="preserve"> (0,</w:t>
      </w:r>
      <w:r>
        <w:rPr>
          <w:rFonts w:ascii="Arial" w:hAnsi="Arial" w:cs="Arial"/>
          <w:sz w:val="22"/>
          <w:szCs w:val="22"/>
        </w:rPr>
        <w:t>8</w:t>
      </w:r>
      <w:r w:rsidRPr="00046CB1">
        <w:rPr>
          <w:rFonts w:ascii="Arial" w:hAnsi="Arial" w:cs="Arial"/>
          <w:sz w:val="22"/>
          <w:szCs w:val="22"/>
        </w:rPr>
        <w:t>% e 2,</w:t>
      </w:r>
      <w:r>
        <w:rPr>
          <w:rFonts w:ascii="Arial" w:hAnsi="Arial" w:cs="Arial"/>
          <w:sz w:val="22"/>
          <w:szCs w:val="22"/>
        </w:rPr>
        <w:t>1</w:t>
      </w:r>
      <w:r w:rsidRPr="00046CB1">
        <w:rPr>
          <w:rFonts w:ascii="Arial" w:hAnsi="Arial" w:cs="Arial"/>
          <w:sz w:val="22"/>
          <w:szCs w:val="22"/>
        </w:rPr>
        <w:t>%</w:t>
      </w:r>
      <w:r w:rsidR="000172AE">
        <w:rPr>
          <w:rFonts w:ascii="Arial" w:hAnsi="Arial" w:cs="Arial"/>
          <w:sz w:val="22"/>
          <w:szCs w:val="22"/>
        </w:rPr>
        <w:t xml:space="preserve"> rispettivamente</w:t>
      </w:r>
      <w:r w:rsidRPr="00046CB1">
        <w:rPr>
          <w:rFonts w:ascii="Arial" w:hAnsi="Arial" w:cs="Arial"/>
          <w:sz w:val="22"/>
          <w:szCs w:val="22"/>
        </w:rPr>
        <w:t xml:space="preserve">) </w:t>
      </w:r>
      <w:r>
        <w:rPr>
          <w:rFonts w:ascii="Arial" w:hAnsi="Arial" w:cs="Arial"/>
          <w:sz w:val="22"/>
          <w:szCs w:val="22"/>
        </w:rPr>
        <w:t>cheal</w:t>
      </w:r>
      <w:r w:rsidRPr="00046CB1">
        <w:rPr>
          <w:rFonts w:ascii="Arial" w:hAnsi="Arial" w:cs="Arial"/>
          <w:sz w:val="22"/>
          <w:szCs w:val="22"/>
        </w:rPr>
        <w:t xml:space="preserve"> valore aggiunto complessivo (</w:t>
      </w:r>
      <w:r>
        <w:rPr>
          <w:rFonts w:ascii="Arial" w:hAnsi="Arial" w:cs="Arial"/>
          <w:sz w:val="22"/>
          <w:szCs w:val="22"/>
        </w:rPr>
        <w:t>6</w:t>
      </w:r>
      <w:r w:rsidRPr="00046CB1">
        <w:rPr>
          <w:rFonts w:ascii="Arial" w:hAnsi="Arial" w:cs="Arial"/>
          <w:sz w:val="22"/>
          <w:szCs w:val="22"/>
        </w:rPr>
        <w:t>,</w:t>
      </w:r>
      <w:r>
        <w:rPr>
          <w:rFonts w:ascii="Arial" w:hAnsi="Arial" w:cs="Arial"/>
          <w:sz w:val="22"/>
          <w:szCs w:val="22"/>
        </w:rPr>
        <w:t>4</w:t>
      </w:r>
      <w:r w:rsidRPr="00046CB1">
        <w:rPr>
          <w:rFonts w:ascii="Arial" w:hAnsi="Arial" w:cs="Arial"/>
          <w:sz w:val="22"/>
          <w:szCs w:val="22"/>
        </w:rPr>
        <w:t xml:space="preserve">% e </w:t>
      </w:r>
      <w:r>
        <w:rPr>
          <w:rFonts w:ascii="Arial" w:hAnsi="Arial" w:cs="Arial"/>
          <w:sz w:val="22"/>
          <w:szCs w:val="22"/>
        </w:rPr>
        <w:t>6,7</w:t>
      </w:r>
      <w:r w:rsidRPr="00046CB1">
        <w:rPr>
          <w:rFonts w:ascii="Arial" w:hAnsi="Arial" w:cs="Arial"/>
          <w:sz w:val="22"/>
          <w:szCs w:val="22"/>
        </w:rPr>
        <w:t>%).</w:t>
      </w:r>
    </w:p>
    <w:p w:rsidR="00B55AB6" w:rsidRDefault="00B55AB6" w:rsidP="00B55AB6">
      <w:pPr>
        <w:jc w:val="both"/>
        <w:rPr>
          <w:rFonts w:ascii="Arial" w:hAnsi="Arial" w:cs="Arial"/>
          <w:sz w:val="22"/>
          <w:szCs w:val="22"/>
        </w:rPr>
      </w:pPr>
    </w:p>
    <w:p w:rsidR="00B55AB6" w:rsidRDefault="00B55AB6" w:rsidP="00B55AB6">
      <w:pPr>
        <w:jc w:val="both"/>
        <w:rPr>
          <w:rFonts w:ascii="Arial" w:hAnsi="Arial" w:cs="Arial"/>
          <w:sz w:val="22"/>
          <w:szCs w:val="22"/>
        </w:rPr>
      </w:pPr>
    </w:p>
    <w:p w:rsidR="00B55AB6" w:rsidRDefault="00B55AB6" w:rsidP="00B55AB6">
      <w:pPr>
        <w:jc w:val="both"/>
        <w:rPr>
          <w:rFonts w:ascii="Arial" w:hAnsi="Arial" w:cs="Arial"/>
          <w:sz w:val="22"/>
          <w:szCs w:val="22"/>
        </w:rPr>
      </w:pPr>
    </w:p>
    <w:p w:rsidR="00B55AB6" w:rsidRDefault="00B55AB6" w:rsidP="00B55AB6">
      <w:pPr>
        <w:jc w:val="both"/>
        <w:rPr>
          <w:rFonts w:ascii="Arial" w:hAnsi="Arial" w:cs="Arial"/>
          <w:sz w:val="22"/>
          <w:szCs w:val="22"/>
        </w:rPr>
      </w:pPr>
    </w:p>
    <w:p w:rsidR="00B55AB6" w:rsidRDefault="00B55AB6" w:rsidP="00B55AB6">
      <w:pPr>
        <w:jc w:val="both"/>
        <w:rPr>
          <w:rFonts w:ascii="Arial" w:hAnsi="Arial" w:cs="Arial"/>
          <w:sz w:val="22"/>
          <w:szCs w:val="22"/>
        </w:rPr>
      </w:pPr>
    </w:p>
    <w:p w:rsidR="00B55AB6" w:rsidRDefault="00B55AB6" w:rsidP="00B55AB6">
      <w:pPr>
        <w:jc w:val="both"/>
        <w:rPr>
          <w:rFonts w:ascii="Arial" w:hAnsi="Arial" w:cs="Arial"/>
          <w:sz w:val="22"/>
          <w:szCs w:val="22"/>
        </w:rPr>
      </w:pPr>
    </w:p>
    <w:p w:rsidR="00B55AB6" w:rsidRDefault="00B55AB6" w:rsidP="00B55AB6">
      <w:pPr>
        <w:jc w:val="both"/>
        <w:rPr>
          <w:rFonts w:ascii="Arial" w:hAnsi="Arial" w:cs="Arial"/>
          <w:sz w:val="22"/>
          <w:szCs w:val="22"/>
        </w:rPr>
      </w:pPr>
    </w:p>
    <w:p w:rsidR="00B55AB6" w:rsidRDefault="00B55AB6" w:rsidP="00B55AB6">
      <w:pPr>
        <w:jc w:val="both"/>
        <w:rPr>
          <w:rFonts w:ascii="Arial" w:hAnsi="Arial" w:cs="Arial"/>
          <w:sz w:val="22"/>
          <w:szCs w:val="22"/>
        </w:rPr>
      </w:pPr>
    </w:p>
    <w:p w:rsidR="00B55AB6" w:rsidRDefault="00B55AB6" w:rsidP="00B55AB6">
      <w:pPr>
        <w:jc w:val="both"/>
        <w:rPr>
          <w:rFonts w:ascii="Arial" w:hAnsi="Arial" w:cs="Arial"/>
          <w:sz w:val="22"/>
          <w:szCs w:val="22"/>
        </w:rPr>
      </w:pPr>
    </w:p>
    <w:p w:rsidR="00B55AB6" w:rsidRDefault="00B55AB6" w:rsidP="00B55AB6">
      <w:pPr>
        <w:jc w:val="both"/>
        <w:rPr>
          <w:rFonts w:ascii="Arial" w:hAnsi="Arial" w:cs="Arial"/>
          <w:sz w:val="22"/>
          <w:szCs w:val="22"/>
        </w:rPr>
      </w:pPr>
    </w:p>
    <w:p w:rsidR="00B55AB6" w:rsidRDefault="00B55AB6" w:rsidP="00B55AB6">
      <w:pPr>
        <w:jc w:val="both"/>
        <w:rPr>
          <w:rFonts w:ascii="Arial" w:hAnsi="Arial" w:cs="Arial"/>
          <w:sz w:val="22"/>
          <w:szCs w:val="22"/>
        </w:rPr>
      </w:pPr>
    </w:p>
    <w:p w:rsidR="00B55AB6" w:rsidRDefault="00B55AB6" w:rsidP="00B55AB6">
      <w:pPr>
        <w:jc w:val="both"/>
        <w:rPr>
          <w:rFonts w:ascii="Arial" w:hAnsi="Arial" w:cs="Arial"/>
          <w:sz w:val="22"/>
          <w:szCs w:val="22"/>
        </w:rPr>
      </w:pPr>
    </w:p>
    <w:p w:rsidR="00B55AB6" w:rsidRDefault="00B55AB6" w:rsidP="00B55AB6">
      <w:pPr>
        <w:jc w:val="both"/>
        <w:rPr>
          <w:rFonts w:ascii="Arial" w:hAnsi="Arial" w:cs="Arial"/>
          <w:sz w:val="22"/>
          <w:szCs w:val="22"/>
        </w:rPr>
      </w:pPr>
    </w:p>
    <w:p w:rsidR="00B55AB6" w:rsidRDefault="00B55AB6" w:rsidP="00B55AB6">
      <w:pPr>
        <w:jc w:val="both"/>
        <w:rPr>
          <w:rFonts w:ascii="Arial" w:hAnsi="Arial" w:cs="Arial"/>
          <w:sz w:val="22"/>
          <w:szCs w:val="22"/>
        </w:rPr>
      </w:pPr>
    </w:p>
    <w:p w:rsidR="00B55AB6" w:rsidRDefault="00B55AB6" w:rsidP="00B55AB6">
      <w:pPr>
        <w:jc w:val="both"/>
        <w:rPr>
          <w:rFonts w:ascii="Arial" w:hAnsi="Arial" w:cs="Arial"/>
          <w:sz w:val="22"/>
          <w:szCs w:val="22"/>
        </w:rPr>
      </w:pPr>
    </w:p>
    <w:p w:rsidR="00B55AB6" w:rsidRDefault="00B55AB6" w:rsidP="00B55AB6">
      <w:pPr>
        <w:jc w:val="both"/>
        <w:rPr>
          <w:rFonts w:ascii="Arial" w:hAnsi="Arial" w:cs="Arial"/>
          <w:sz w:val="22"/>
          <w:szCs w:val="22"/>
        </w:rPr>
      </w:pPr>
    </w:p>
    <w:p w:rsidR="00B55AB6" w:rsidRPr="00934608" w:rsidRDefault="00B55AB6" w:rsidP="00B55AB6">
      <w:pPr>
        <w:jc w:val="both"/>
        <w:rPr>
          <w:rFonts w:ascii="Arial" w:hAnsi="Arial" w:cs="Arial"/>
          <w:sz w:val="36"/>
          <w:szCs w:val="22"/>
        </w:rPr>
      </w:pPr>
    </w:p>
    <w:p w:rsidR="00B55AB6" w:rsidRDefault="00B55AB6" w:rsidP="00B55AB6">
      <w:pPr>
        <w:jc w:val="both"/>
        <w:rPr>
          <w:rFonts w:ascii="Arial" w:hAnsi="Arial" w:cs="Arial"/>
          <w:sz w:val="22"/>
          <w:szCs w:val="22"/>
        </w:rPr>
      </w:pPr>
    </w:p>
    <w:p w:rsidR="00B55AB6" w:rsidRDefault="00B55AB6" w:rsidP="00B55AB6">
      <w:pPr>
        <w:jc w:val="both"/>
        <w:rPr>
          <w:rFonts w:ascii="Arial" w:hAnsi="Arial" w:cs="Arial"/>
          <w:sz w:val="22"/>
          <w:szCs w:val="22"/>
        </w:rPr>
      </w:pPr>
    </w:p>
    <w:p w:rsidR="00B55AB6" w:rsidRPr="00934608" w:rsidRDefault="00B55AB6" w:rsidP="00B55AB6">
      <w:pPr>
        <w:jc w:val="both"/>
        <w:rPr>
          <w:rFonts w:ascii="Arial" w:hAnsi="Arial" w:cs="Arial"/>
          <w:sz w:val="20"/>
          <w:szCs w:val="22"/>
        </w:rPr>
      </w:pPr>
    </w:p>
    <w:p w:rsidR="00B15087" w:rsidRDefault="0058702E" w:rsidP="0046402A">
      <w:pPr>
        <w:rPr>
          <w:rFonts w:ascii="Arial Narrow" w:hAnsi="Arial Narrow" w:cs="Arial"/>
          <w:iCs/>
          <w:noProof/>
          <w:color w:val="1F497D" w:themeColor="text2"/>
          <w:sz w:val="22"/>
          <w:szCs w:val="22"/>
        </w:rPr>
      </w:pPr>
      <w:r w:rsidRPr="00E80B57">
        <w:rPr>
          <w:rFonts w:ascii="Arial Black" w:hAnsi="Arial Black" w:cs="Arial"/>
          <w:iCs/>
          <w:noProof/>
          <w:color w:val="1F497D" w:themeColor="text2"/>
          <w:sz w:val="22"/>
          <w:szCs w:val="22"/>
        </w:rPr>
        <w:t xml:space="preserve">FIGURA </w:t>
      </w:r>
      <w:r w:rsidR="00DC3C4E">
        <w:rPr>
          <w:rFonts w:ascii="Arial Black" w:hAnsi="Arial Black" w:cs="Arial"/>
          <w:iCs/>
          <w:noProof/>
          <w:color w:val="1F497D" w:themeColor="text2"/>
          <w:sz w:val="22"/>
          <w:szCs w:val="22"/>
        </w:rPr>
        <w:t>3</w:t>
      </w:r>
      <w:r w:rsidRPr="00E80B57">
        <w:rPr>
          <w:rFonts w:ascii="Arial Black" w:hAnsi="Arial Black" w:cs="Arial"/>
          <w:iCs/>
          <w:noProof/>
          <w:color w:val="1F497D" w:themeColor="text2"/>
          <w:sz w:val="22"/>
          <w:szCs w:val="22"/>
        </w:rPr>
        <w:t>.</w:t>
      </w:r>
      <w:r w:rsidR="00C675F7">
        <w:rPr>
          <w:rFonts w:ascii="Arial Black" w:hAnsi="Arial Black" w:cs="Arial"/>
          <w:iCs/>
          <w:noProof/>
          <w:color w:val="1F497D" w:themeColor="text2"/>
          <w:sz w:val="22"/>
          <w:szCs w:val="22"/>
        </w:rPr>
        <w:t xml:space="preserve"> </w:t>
      </w:r>
      <w:r w:rsidR="007516C3" w:rsidRPr="007516C3">
        <w:rPr>
          <w:rFonts w:ascii="Arial Narrow" w:hAnsi="Arial Narrow" w:cs="Arial"/>
          <w:b/>
          <w:iCs/>
          <w:noProof/>
          <w:color w:val="1F497D" w:themeColor="text2"/>
          <w:sz w:val="22"/>
          <w:szCs w:val="22"/>
        </w:rPr>
        <w:t xml:space="preserve">DISTRIBUZIONE PER ATTIVITÀ ECONOMICA DEL VALORE AGGIUNTO TOTALE E DEL VALORE AGGIUNTO </w:t>
      </w:r>
      <w:r w:rsidR="007516C3">
        <w:rPr>
          <w:rFonts w:ascii="Arial Narrow" w:hAnsi="Arial Narrow" w:cs="Arial"/>
          <w:b/>
          <w:iCs/>
          <w:noProof/>
          <w:color w:val="1F497D" w:themeColor="text2"/>
          <w:sz w:val="22"/>
          <w:szCs w:val="22"/>
        </w:rPr>
        <w:t>GENERATO DALL’ECONOMIA SOMMERSA</w:t>
      </w:r>
      <w:r w:rsidR="00C86FC7">
        <w:rPr>
          <w:rFonts w:ascii="Arial Narrow" w:hAnsi="Arial Narrow" w:cs="Arial"/>
          <w:b/>
          <w:iCs/>
          <w:noProof/>
          <w:color w:val="1F497D" w:themeColor="text2"/>
          <w:sz w:val="22"/>
          <w:szCs w:val="22"/>
        </w:rPr>
        <w:t xml:space="preserve">. </w:t>
      </w:r>
      <w:r w:rsidR="007516C3" w:rsidRPr="007516C3">
        <w:rPr>
          <w:rFonts w:ascii="Arial Narrow" w:hAnsi="Arial Narrow" w:cs="Arial"/>
          <w:iCs/>
          <w:noProof/>
          <w:color w:val="1F497D" w:themeColor="text2"/>
          <w:sz w:val="22"/>
          <w:szCs w:val="22"/>
        </w:rPr>
        <w:t>Anno 201</w:t>
      </w:r>
      <w:r w:rsidR="00B569E7">
        <w:rPr>
          <w:rFonts w:ascii="Arial Narrow" w:hAnsi="Arial Narrow" w:cs="Arial"/>
          <w:iCs/>
          <w:noProof/>
          <w:color w:val="1F497D" w:themeColor="text2"/>
          <w:sz w:val="22"/>
          <w:szCs w:val="22"/>
        </w:rPr>
        <w:t>7</w:t>
      </w:r>
      <w:r w:rsidR="007516C3" w:rsidRPr="007516C3">
        <w:rPr>
          <w:rFonts w:ascii="Arial Narrow" w:hAnsi="Arial Narrow" w:cs="Arial"/>
          <w:iCs/>
          <w:noProof/>
          <w:color w:val="1F497D" w:themeColor="text2"/>
          <w:sz w:val="22"/>
          <w:szCs w:val="22"/>
        </w:rPr>
        <w:t>, valori percentuali</w:t>
      </w:r>
    </w:p>
    <w:p w:rsidR="00934608" w:rsidRPr="00934608" w:rsidRDefault="00934608" w:rsidP="0046402A">
      <w:pPr>
        <w:rPr>
          <w:rFonts w:ascii="Arial Narrow" w:hAnsi="Arial Narrow" w:cs="Arial"/>
          <w:i/>
          <w:iCs/>
          <w:noProof/>
          <w:color w:val="1F497D" w:themeColor="text2"/>
          <w:sz w:val="12"/>
          <w:szCs w:val="22"/>
        </w:rPr>
      </w:pPr>
    </w:p>
    <w:p w:rsidR="00B55AB6" w:rsidRDefault="004633E9" w:rsidP="007116B7">
      <w:pPr>
        <w:spacing w:after="120"/>
        <w:jc w:val="both"/>
        <w:outlineLvl w:val="0"/>
        <w:rPr>
          <w:rFonts w:ascii="Arial" w:hAnsi="Arial" w:cs="Arial"/>
          <w:b/>
          <w:color w:val="1F497D" w:themeColor="text2"/>
          <w:sz w:val="26"/>
          <w:szCs w:val="26"/>
        </w:rPr>
      </w:pPr>
      <w:r>
        <w:rPr>
          <w:noProof/>
        </w:rPr>
        <w:drawing>
          <wp:inline distT="0" distB="0" distL="0" distR="0" wp14:anchorId="36B3CD8D" wp14:editId="2AE16620">
            <wp:extent cx="6172200" cy="2304000"/>
            <wp:effectExtent l="0" t="0" r="0" b="0"/>
            <wp:docPr id="2"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C52BD" w:rsidRDefault="001C52BD" w:rsidP="007116B7">
      <w:pPr>
        <w:spacing w:after="120"/>
        <w:jc w:val="both"/>
        <w:outlineLvl w:val="0"/>
        <w:rPr>
          <w:rFonts w:ascii="Arial" w:hAnsi="Arial" w:cs="Arial"/>
          <w:b/>
          <w:color w:val="1F497D" w:themeColor="text2"/>
          <w:sz w:val="26"/>
          <w:szCs w:val="26"/>
        </w:rPr>
      </w:pPr>
    </w:p>
    <w:p w:rsidR="0078797B" w:rsidRDefault="0078797B" w:rsidP="007116B7">
      <w:pPr>
        <w:spacing w:after="120"/>
        <w:jc w:val="both"/>
        <w:outlineLvl w:val="0"/>
        <w:rPr>
          <w:rFonts w:ascii="Arial" w:hAnsi="Arial" w:cs="Arial"/>
          <w:b/>
          <w:color w:val="1F497D" w:themeColor="text2"/>
          <w:sz w:val="26"/>
          <w:szCs w:val="26"/>
        </w:rPr>
      </w:pPr>
      <w:r w:rsidRPr="007116B7">
        <w:rPr>
          <w:rFonts w:ascii="Arial" w:hAnsi="Arial" w:cs="Arial"/>
          <w:b/>
          <w:color w:val="1F497D" w:themeColor="text2"/>
          <w:sz w:val="26"/>
          <w:szCs w:val="26"/>
        </w:rPr>
        <w:t xml:space="preserve">In </w:t>
      </w:r>
      <w:r w:rsidR="007116B7">
        <w:rPr>
          <w:rFonts w:ascii="Arial" w:hAnsi="Arial" w:cs="Arial"/>
          <w:b/>
          <w:color w:val="1F497D" w:themeColor="text2"/>
          <w:sz w:val="26"/>
          <w:szCs w:val="26"/>
        </w:rPr>
        <w:t>crescita</w:t>
      </w:r>
      <w:r w:rsidRPr="007116B7">
        <w:rPr>
          <w:rFonts w:ascii="Arial" w:hAnsi="Arial" w:cs="Arial"/>
          <w:b/>
          <w:color w:val="1F497D" w:themeColor="text2"/>
          <w:sz w:val="26"/>
          <w:szCs w:val="26"/>
        </w:rPr>
        <w:t xml:space="preserve"> il lavoro irregolare nel 201</w:t>
      </w:r>
      <w:r w:rsidR="007116B7">
        <w:rPr>
          <w:rFonts w:ascii="Arial" w:hAnsi="Arial" w:cs="Arial"/>
          <w:b/>
          <w:color w:val="1F497D" w:themeColor="text2"/>
          <w:sz w:val="26"/>
          <w:szCs w:val="26"/>
        </w:rPr>
        <w:t>7</w:t>
      </w:r>
    </w:p>
    <w:p w:rsidR="0078797B" w:rsidRPr="007116B7" w:rsidRDefault="0078797B" w:rsidP="007116B7">
      <w:pPr>
        <w:spacing w:after="120"/>
        <w:jc w:val="both"/>
        <w:outlineLvl w:val="0"/>
        <w:rPr>
          <w:rFonts w:ascii="Arial" w:hAnsi="Arial" w:cs="Arial"/>
          <w:b/>
          <w:color w:val="1F497D" w:themeColor="text2"/>
          <w:sz w:val="8"/>
          <w:szCs w:val="8"/>
        </w:rPr>
      </w:pPr>
    </w:p>
    <w:p w:rsidR="00AE70A1" w:rsidRDefault="00DA25CC" w:rsidP="00DA25CC">
      <w:pPr>
        <w:jc w:val="both"/>
        <w:rPr>
          <w:rFonts w:ascii="Arial" w:hAnsi="Arial" w:cs="Arial"/>
          <w:sz w:val="22"/>
          <w:szCs w:val="22"/>
        </w:rPr>
      </w:pPr>
      <w:r w:rsidRPr="007116B7">
        <w:rPr>
          <w:rFonts w:ascii="Arial" w:hAnsi="Arial" w:cs="Arial"/>
          <w:sz w:val="22"/>
          <w:szCs w:val="22"/>
        </w:rPr>
        <w:t xml:space="preserve">Il ricorso al lavoro non regolare da parte di imprese e famiglie è una caratteristica strutturale del mercato del lavoro italiano. </w:t>
      </w:r>
      <w:r w:rsidRPr="00957EBA">
        <w:rPr>
          <w:rFonts w:ascii="Arial" w:hAnsi="Arial" w:cs="Arial"/>
          <w:sz w:val="22"/>
          <w:szCs w:val="22"/>
        </w:rPr>
        <w:t>Sono definite non regolari le posizioni lavorative svolte senza il rispetto della normativa vigente in materia fiscale-contributiva, quindi non osservabili direttamente presso le imprese, le istituzioni e le fonti amministrative.</w:t>
      </w:r>
    </w:p>
    <w:p w:rsidR="00DA25CC" w:rsidRDefault="00DA25CC" w:rsidP="00DA25CC">
      <w:pPr>
        <w:jc w:val="both"/>
        <w:rPr>
          <w:rFonts w:ascii="Arial" w:hAnsi="Arial" w:cs="Arial"/>
          <w:sz w:val="22"/>
          <w:szCs w:val="22"/>
        </w:rPr>
      </w:pPr>
      <w:r>
        <w:rPr>
          <w:rFonts w:ascii="Arial" w:hAnsi="Arial" w:cs="Arial"/>
          <w:sz w:val="22"/>
          <w:szCs w:val="22"/>
        </w:rPr>
        <w:t>N</w:t>
      </w:r>
      <w:r w:rsidRPr="007116B7">
        <w:rPr>
          <w:rFonts w:ascii="Arial" w:hAnsi="Arial" w:cs="Arial"/>
          <w:sz w:val="22"/>
          <w:szCs w:val="22"/>
        </w:rPr>
        <w:t>el 201</w:t>
      </w:r>
      <w:r>
        <w:rPr>
          <w:rFonts w:ascii="Arial" w:hAnsi="Arial" w:cs="Arial"/>
          <w:sz w:val="22"/>
          <w:szCs w:val="22"/>
        </w:rPr>
        <w:t>7</w:t>
      </w:r>
      <w:r w:rsidRPr="007116B7">
        <w:rPr>
          <w:rFonts w:ascii="Arial" w:hAnsi="Arial" w:cs="Arial"/>
          <w:sz w:val="22"/>
          <w:szCs w:val="22"/>
        </w:rPr>
        <w:t xml:space="preserve"> sono 3 milioni e 70</w:t>
      </w:r>
      <w:r>
        <w:rPr>
          <w:rFonts w:ascii="Arial" w:hAnsi="Arial" w:cs="Arial"/>
          <w:sz w:val="22"/>
          <w:szCs w:val="22"/>
        </w:rPr>
        <w:t>0</w:t>
      </w:r>
      <w:r w:rsidRPr="007116B7">
        <w:rPr>
          <w:rFonts w:ascii="Arial" w:hAnsi="Arial" w:cs="Arial"/>
          <w:sz w:val="22"/>
          <w:szCs w:val="22"/>
        </w:rPr>
        <w:t xml:space="preserve"> mila le unità di lavoro </w:t>
      </w:r>
      <w:r>
        <w:rPr>
          <w:rFonts w:ascii="Arial" w:hAnsi="Arial" w:cs="Arial"/>
          <w:sz w:val="22"/>
          <w:szCs w:val="22"/>
        </w:rPr>
        <w:t xml:space="preserve">a tempo pieno </w:t>
      </w:r>
      <w:r w:rsidRPr="007116B7">
        <w:rPr>
          <w:rFonts w:ascii="Arial" w:hAnsi="Arial" w:cs="Arial"/>
          <w:sz w:val="22"/>
          <w:szCs w:val="22"/>
        </w:rPr>
        <w:t>(ULA) in condizione di non regolarità</w:t>
      </w:r>
      <w:r>
        <w:rPr>
          <w:rFonts w:ascii="Arial" w:hAnsi="Arial" w:cs="Arial"/>
          <w:sz w:val="22"/>
          <w:szCs w:val="22"/>
        </w:rPr>
        <w:t xml:space="preserve">, </w:t>
      </w:r>
      <w:r w:rsidRPr="007116B7">
        <w:rPr>
          <w:rFonts w:ascii="Arial" w:hAnsi="Arial" w:cs="Arial"/>
          <w:sz w:val="22"/>
          <w:szCs w:val="22"/>
        </w:rPr>
        <w:t>occupate in prevalenza come dipendenti (2 milioni e 6</w:t>
      </w:r>
      <w:r>
        <w:rPr>
          <w:rFonts w:ascii="Arial" w:hAnsi="Arial" w:cs="Arial"/>
          <w:sz w:val="22"/>
          <w:szCs w:val="22"/>
        </w:rPr>
        <w:t>96</w:t>
      </w:r>
      <w:r w:rsidRPr="007116B7">
        <w:rPr>
          <w:rFonts w:ascii="Arial" w:hAnsi="Arial" w:cs="Arial"/>
          <w:sz w:val="22"/>
          <w:szCs w:val="22"/>
        </w:rPr>
        <w:t xml:space="preserve"> mila unità). </w:t>
      </w:r>
      <w:r w:rsidR="00421F08">
        <w:rPr>
          <w:rFonts w:ascii="Arial" w:hAnsi="Arial" w:cs="Arial"/>
          <w:sz w:val="22"/>
          <w:szCs w:val="22"/>
        </w:rPr>
        <w:t>L’</w:t>
      </w:r>
      <w:r>
        <w:rPr>
          <w:rFonts w:ascii="Arial" w:hAnsi="Arial" w:cs="Arial"/>
          <w:sz w:val="22"/>
          <w:szCs w:val="22"/>
        </w:rPr>
        <w:t>aumento della componente non regolare (+</w:t>
      </w:r>
      <w:r w:rsidR="007B75BB">
        <w:rPr>
          <w:rFonts w:ascii="Arial" w:hAnsi="Arial" w:cs="Arial"/>
          <w:sz w:val="22"/>
          <w:szCs w:val="22"/>
        </w:rPr>
        <w:t>0</w:t>
      </w:r>
      <w:r>
        <w:rPr>
          <w:rFonts w:ascii="Arial" w:hAnsi="Arial" w:cs="Arial"/>
          <w:sz w:val="22"/>
          <w:szCs w:val="22"/>
        </w:rPr>
        <w:t xml:space="preserve">,7% rispetto al 2016) segna la ripresa di un fenomeno che </w:t>
      </w:r>
      <w:r w:rsidR="00421F08">
        <w:rPr>
          <w:rFonts w:ascii="Arial" w:hAnsi="Arial" w:cs="Arial"/>
          <w:sz w:val="22"/>
          <w:szCs w:val="22"/>
        </w:rPr>
        <w:t xml:space="preserve">nel </w:t>
      </w:r>
      <w:r>
        <w:rPr>
          <w:rFonts w:ascii="Arial" w:hAnsi="Arial" w:cs="Arial"/>
          <w:sz w:val="22"/>
          <w:szCs w:val="22"/>
        </w:rPr>
        <w:t xml:space="preserve">2016 </w:t>
      </w:r>
      <w:r w:rsidR="00AA4031">
        <w:rPr>
          <w:rFonts w:ascii="Arial" w:hAnsi="Arial" w:cs="Arial"/>
          <w:sz w:val="22"/>
          <w:szCs w:val="22"/>
        </w:rPr>
        <w:t xml:space="preserve">si era invece attenuato </w:t>
      </w:r>
      <w:r>
        <w:rPr>
          <w:rFonts w:ascii="Arial" w:hAnsi="Arial" w:cs="Arial"/>
          <w:sz w:val="22"/>
          <w:szCs w:val="22"/>
        </w:rPr>
        <w:t>(-0,7%</w:t>
      </w:r>
      <w:r w:rsidR="00421F08">
        <w:rPr>
          <w:rFonts w:ascii="Arial" w:hAnsi="Arial" w:cs="Arial"/>
          <w:sz w:val="22"/>
          <w:szCs w:val="22"/>
        </w:rPr>
        <w:t xml:space="preserve"> rispetto al 2015</w:t>
      </w:r>
      <w:r>
        <w:rPr>
          <w:rFonts w:ascii="Arial" w:hAnsi="Arial" w:cs="Arial"/>
          <w:sz w:val="22"/>
          <w:szCs w:val="22"/>
        </w:rPr>
        <w:t xml:space="preserve">). </w:t>
      </w:r>
    </w:p>
    <w:p w:rsidR="00AE70A1" w:rsidRDefault="00AE70A1" w:rsidP="00DA25CC">
      <w:pPr>
        <w:jc w:val="both"/>
        <w:rPr>
          <w:rFonts w:ascii="Arial" w:hAnsi="Arial" w:cs="Arial"/>
          <w:sz w:val="22"/>
          <w:szCs w:val="22"/>
        </w:rPr>
      </w:pPr>
    </w:p>
    <w:p w:rsidR="00FE1393" w:rsidRDefault="00DA25CC" w:rsidP="00FE1393">
      <w:pPr>
        <w:jc w:val="both"/>
        <w:rPr>
          <w:rFonts w:ascii="Arial" w:hAnsi="Arial" w:cs="Arial"/>
          <w:sz w:val="22"/>
          <w:szCs w:val="22"/>
        </w:rPr>
      </w:pPr>
      <w:r>
        <w:rPr>
          <w:rFonts w:ascii="Arial" w:hAnsi="Arial" w:cs="Arial"/>
          <w:sz w:val="22"/>
          <w:szCs w:val="22"/>
        </w:rPr>
        <w:t xml:space="preserve">Il tasso di irregolarità, </w:t>
      </w:r>
      <w:r w:rsidRPr="007116B7">
        <w:rPr>
          <w:rFonts w:ascii="Arial" w:hAnsi="Arial" w:cs="Arial"/>
          <w:sz w:val="22"/>
          <w:szCs w:val="22"/>
        </w:rPr>
        <w:t xml:space="preserve">calcolato come incidenza percentuale delle </w:t>
      </w:r>
      <w:r>
        <w:rPr>
          <w:rFonts w:ascii="Arial" w:hAnsi="Arial" w:cs="Arial"/>
          <w:sz w:val="22"/>
          <w:szCs w:val="22"/>
        </w:rPr>
        <w:t>ULA</w:t>
      </w:r>
      <w:r w:rsidRPr="007116B7">
        <w:rPr>
          <w:rFonts w:ascii="Arial" w:hAnsi="Arial" w:cs="Arial"/>
          <w:sz w:val="22"/>
          <w:szCs w:val="22"/>
        </w:rPr>
        <w:t xml:space="preserve"> non regolari sul totale</w:t>
      </w:r>
      <w:r>
        <w:rPr>
          <w:rFonts w:ascii="Arial" w:hAnsi="Arial" w:cs="Arial"/>
          <w:sz w:val="22"/>
          <w:szCs w:val="22"/>
        </w:rPr>
        <w:t>, risulta stabile</w:t>
      </w:r>
      <w:r w:rsidR="00F9475A">
        <w:rPr>
          <w:rFonts w:ascii="Arial" w:hAnsi="Arial" w:cs="Arial"/>
          <w:sz w:val="22"/>
          <w:szCs w:val="22"/>
        </w:rPr>
        <w:t xml:space="preserve"> nell’ultimo bienn</w:t>
      </w:r>
      <w:r w:rsidR="00117578">
        <w:rPr>
          <w:rFonts w:ascii="Arial" w:hAnsi="Arial" w:cs="Arial"/>
          <w:sz w:val="22"/>
          <w:szCs w:val="22"/>
        </w:rPr>
        <w:t>i</w:t>
      </w:r>
      <w:r w:rsidR="00F9475A">
        <w:rPr>
          <w:rFonts w:ascii="Arial" w:hAnsi="Arial" w:cs="Arial"/>
          <w:sz w:val="22"/>
          <w:szCs w:val="22"/>
        </w:rPr>
        <w:t>o</w:t>
      </w:r>
      <w:r>
        <w:rPr>
          <w:rFonts w:ascii="Arial" w:hAnsi="Arial" w:cs="Arial"/>
          <w:sz w:val="22"/>
          <w:szCs w:val="22"/>
        </w:rPr>
        <w:t xml:space="preserve"> (</w:t>
      </w:r>
      <w:r w:rsidRPr="007116B7">
        <w:rPr>
          <w:rFonts w:ascii="Arial" w:hAnsi="Arial" w:cs="Arial"/>
          <w:sz w:val="22"/>
          <w:szCs w:val="22"/>
        </w:rPr>
        <w:t>15,</w:t>
      </w:r>
      <w:r>
        <w:rPr>
          <w:rFonts w:ascii="Arial" w:hAnsi="Arial" w:cs="Arial"/>
          <w:sz w:val="22"/>
          <w:szCs w:val="22"/>
        </w:rPr>
        <w:t xml:space="preserve">5% nel </w:t>
      </w:r>
      <w:r w:rsidR="00117578">
        <w:rPr>
          <w:rFonts w:ascii="Arial" w:hAnsi="Arial" w:cs="Arial"/>
          <w:sz w:val="22"/>
          <w:szCs w:val="22"/>
        </w:rPr>
        <w:t xml:space="preserve">2016 e nel </w:t>
      </w:r>
      <w:r>
        <w:rPr>
          <w:rFonts w:ascii="Arial" w:hAnsi="Arial" w:cs="Arial"/>
          <w:sz w:val="22"/>
          <w:szCs w:val="22"/>
        </w:rPr>
        <w:t xml:space="preserve">2017) </w:t>
      </w:r>
      <w:r w:rsidR="00FE1393" w:rsidRPr="00FE1393">
        <w:rPr>
          <w:rFonts w:ascii="Arial" w:hAnsi="Arial" w:cs="Arial"/>
          <w:sz w:val="22"/>
          <w:szCs w:val="22"/>
        </w:rPr>
        <w:t xml:space="preserve">per effetto </w:t>
      </w:r>
      <w:r w:rsidR="00AA4031">
        <w:rPr>
          <w:rFonts w:ascii="Arial" w:hAnsi="Arial" w:cs="Arial"/>
          <w:sz w:val="22"/>
          <w:szCs w:val="22"/>
        </w:rPr>
        <w:t>di una dinamica</w:t>
      </w:r>
      <w:r w:rsidR="00710108">
        <w:rPr>
          <w:rFonts w:ascii="Arial" w:hAnsi="Arial" w:cs="Arial"/>
          <w:sz w:val="22"/>
          <w:szCs w:val="22"/>
        </w:rPr>
        <w:t xml:space="preserve"> </w:t>
      </w:r>
      <w:r w:rsidR="00FE1393" w:rsidRPr="00FE1393">
        <w:rPr>
          <w:rFonts w:ascii="Arial" w:hAnsi="Arial" w:cs="Arial"/>
          <w:sz w:val="22"/>
          <w:szCs w:val="22"/>
        </w:rPr>
        <w:t xml:space="preserve">del lavoro non regolare </w:t>
      </w:r>
      <w:r w:rsidR="00AA4031">
        <w:rPr>
          <w:rFonts w:ascii="Arial" w:hAnsi="Arial" w:cs="Arial"/>
          <w:sz w:val="22"/>
          <w:szCs w:val="22"/>
        </w:rPr>
        <w:t>in linea con quella</w:t>
      </w:r>
      <w:r w:rsidR="00710108">
        <w:rPr>
          <w:rFonts w:ascii="Arial" w:hAnsi="Arial" w:cs="Arial"/>
          <w:sz w:val="22"/>
          <w:szCs w:val="22"/>
        </w:rPr>
        <w:t xml:space="preserve"> </w:t>
      </w:r>
      <w:r w:rsidR="00AA4031">
        <w:rPr>
          <w:rFonts w:ascii="Arial" w:hAnsi="Arial" w:cs="Arial"/>
          <w:sz w:val="22"/>
          <w:szCs w:val="22"/>
        </w:rPr>
        <w:t>de</w:t>
      </w:r>
      <w:r w:rsidR="00421F08">
        <w:rPr>
          <w:rFonts w:ascii="Arial" w:hAnsi="Arial" w:cs="Arial"/>
          <w:sz w:val="22"/>
          <w:szCs w:val="22"/>
        </w:rPr>
        <w:t>l totale dell’input di lavoro</w:t>
      </w:r>
      <w:r w:rsidR="00FE1393" w:rsidRPr="00FE1393">
        <w:rPr>
          <w:rFonts w:ascii="Arial" w:hAnsi="Arial" w:cs="Arial"/>
          <w:sz w:val="22"/>
          <w:szCs w:val="22"/>
        </w:rPr>
        <w:t xml:space="preserve">. </w:t>
      </w:r>
      <w:r w:rsidR="00652F7A" w:rsidRPr="00652F7A">
        <w:rPr>
          <w:rFonts w:ascii="Arial" w:hAnsi="Arial" w:cs="Arial"/>
          <w:sz w:val="22"/>
          <w:szCs w:val="22"/>
        </w:rPr>
        <w:t>Il tasso di irregolarità è più elevato tra i dipendenti rispetto agli indipendenti (rispettivamente il 16,0% e il 14,2%).</w:t>
      </w:r>
    </w:p>
    <w:p w:rsidR="00AE70A1" w:rsidRPr="00FE1393" w:rsidRDefault="00AE70A1" w:rsidP="00FE1393">
      <w:pPr>
        <w:jc w:val="both"/>
        <w:rPr>
          <w:rFonts w:ascii="Arial" w:hAnsi="Arial" w:cs="Arial"/>
          <w:sz w:val="22"/>
          <w:szCs w:val="22"/>
        </w:rPr>
      </w:pPr>
    </w:p>
    <w:p w:rsidR="00DA25CC" w:rsidRDefault="00FE1393" w:rsidP="00FE1393">
      <w:pPr>
        <w:jc w:val="both"/>
        <w:rPr>
          <w:rFonts w:ascii="Arial" w:hAnsi="Arial" w:cs="Arial"/>
          <w:sz w:val="22"/>
          <w:szCs w:val="22"/>
        </w:rPr>
      </w:pPr>
      <w:r w:rsidRPr="00FE1393">
        <w:rPr>
          <w:rFonts w:ascii="Arial" w:hAnsi="Arial" w:cs="Arial"/>
          <w:sz w:val="22"/>
          <w:szCs w:val="22"/>
        </w:rPr>
        <w:t>Nel</w:t>
      </w:r>
      <w:r w:rsidR="00421F08">
        <w:rPr>
          <w:rFonts w:ascii="Arial" w:hAnsi="Arial" w:cs="Arial"/>
          <w:sz w:val="22"/>
          <w:szCs w:val="22"/>
        </w:rPr>
        <w:t>l’insieme del</w:t>
      </w:r>
      <w:r w:rsidRPr="00FE1393">
        <w:rPr>
          <w:rFonts w:ascii="Arial" w:hAnsi="Arial" w:cs="Arial"/>
          <w:sz w:val="22"/>
          <w:szCs w:val="22"/>
        </w:rPr>
        <w:t xml:space="preserve"> periodo 2014-2017 il lavoro non regolare presenta una dinamica differenziata e opposta a quella che caratterizza il lavoro regolare: gli irregolari aumentano di circa 59 mila unità (+1,6%) mentre i regolari crescono di 603 mila unità (+3,1%)</w:t>
      </w:r>
      <w:r w:rsidR="00421F08">
        <w:rPr>
          <w:rFonts w:ascii="Arial" w:hAnsi="Arial" w:cs="Arial"/>
          <w:sz w:val="22"/>
          <w:szCs w:val="22"/>
        </w:rPr>
        <w:t>,</w:t>
      </w:r>
      <w:r w:rsidRPr="00FE1393">
        <w:rPr>
          <w:rFonts w:ascii="Arial" w:hAnsi="Arial" w:cs="Arial"/>
          <w:sz w:val="22"/>
          <w:szCs w:val="22"/>
        </w:rPr>
        <w:t xml:space="preserve"> determinando un leggero calo del tasso di irregolarità (dal 15,6% </w:t>
      </w:r>
      <w:r w:rsidR="00421F08">
        <w:rPr>
          <w:rFonts w:ascii="Arial" w:hAnsi="Arial" w:cs="Arial"/>
          <w:sz w:val="22"/>
          <w:szCs w:val="22"/>
        </w:rPr>
        <w:t xml:space="preserve">osservato </w:t>
      </w:r>
      <w:r w:rsidRPr="00FE1393">
        <w:rPr>
          <w:rFonts w:ascii="Arial" w:hAnsi="Arial" w:cs="Arial"/>
          <w:sz w:val="22"/>
          <w:szCs w:val="22"/>
        </w:rPr>
        <w:t>del 2014 al 15,5% del 2017).</w:t>
      </w:r>
    </w:p>
    <w:p w:rsidR="00353382" w:rsidRDefault="00353382" w:rsidP="007116B7">
      <w:pPr>
        <w:jc w:val="both"/>
        <w:rPr>
          <w:rFonts w:ascii="Arial" w:hAnsi="Arial" w:cs="Arial"/>
          <w:sz w:val="22"/>
          <w:szCs w:val="22"/>
        </w:rPr>
      </w:pPr>
    </w:p>
    <w:p w:rsidR="00353382" w:rsidRDefault="00353382" w:rsidP="007116B7">
      <w:pPr>
        <w:jc w:val="both"/>
        <w:rPr>
          <w:rFonts w:ascii="Arial" w:hAnsi="Arial" w:cs="Arial"/>
          <w:sz w:val="22"/>
          <w:szCs w:val="22"/>
        </w:rPr>
      </w:pPr>
    </w:p>
    <w:p w:rsidR="00353382" w:rsidRDefault="00353382" w:rsidP="007116B7">
      <w:pPr>
        <w:jc w:val="both"/>
        <w:rPr>
          <w:rFonts w:ascii="Arial" w:hAnsi="Arial" w:cs="Arial"/>
          <w:sz w:val="22"/>
          <w:szCs w:val="22"/>
        </w:rPr>
      </w:pPr>
    </w:p>
    <w:p w:rsidR="00353382" w:rsidRDefault="00353382" w:rsidP="007116B7">
      <w:pPr>
        <w:jc w:val="both"/>
        <w:rPr>
          <w:rFonts w:ascii="Arial" w:hAnsi="Arial" w:cs="Arial"/>
          <w:sz w:val="22"/>
          <w:szCs w:val="22"/>
        </w:rPr>
      </w:pPr>
    </w:p>
    <w:p w:rsidR="00353382" w:rsidRDefault="00353382" w:rsidP="007116B7">
      <w:pPr>
        <w:jc w:val="both"/>
        <w:rPr>
          <w:rFonts w:ascii="Arial" w:hAnsi="Arial" w:cs="Arial"/>
          <w:sz w:val="22"/>
          <w:szCs w:val="22"/>
        </w:rPr>
      </w:pPr>
    </w:p>
    <w:p w:rsidR="001C0C88" w:rsidRDefault="001C0C88" w:rsidP="007116B7">
      <w:pPr>
        <w:jc w:val="both"/>
        <w:rPr>
          <w:rFonts w:ascii="Arial" w:hAnsi="Arial" w:cs="Arial"/>
          <w:sz w:val="22"/>
          <w:szCs w:val="22"/>
        </w:rPr>
      </w:pPr>
    </w:p>
    <w:p w:rsidR="00353382" w:rsidRDefault="00353382" w:rsidP="007116B7">
      <w:pPr>
        <w:jc w:val="both"/>
        <w:rPr>
          <w:rFonts w:ascii="Arial" w:hAnsi="Arial" w:cs="Arial"/>
          <w:sz w:val="22"/>
          <w:szCs w:val="22"/>
        </w:rPr>
      </w:pPr>
    </w:p>
    <w:p w:rsidR="00AB0FDD" w:rsidRDefault="00AB0FDD" w:rsidP="007116B7">
      <w:pPr>
        <w:jc w:val="both"/>
        <w:rPr>
          <w:rFonts w:ascii="Arial" w:hAnsi="Arial" w:cs="Arial"/>
          <w:sz w:val="22"/>
          <w:szCs w:val="22"/>
        </w:rPr>
      </w:pPr>
    </w:p>
    <w:p w:rsidR="00AB0FDD" w:rsidRDefault="00AB0FDD" w:rsidP="007116B7">
      <w:pPr>
        <w:jc w:val="both"/>
        <w:rPr>
          <w:rFonts w:ascii="Arial" w:hAnsi="Arial" w:cs="Arial"/>
          <w:sz w:val="22"/>
          <w:szCs w:val="22"/>
        </w:rPr>
      </w:pPr>
    </w:p>
    <w:p w:rsidR="00AB0FDD" w:rsidRDefault="00AB0FDD" w:rsidP="007116B7">
      <w:pPr>
        <w:jc w:val="both"/>
        <w:rPr>
          <w:rFonts w:ascii="Arial" w:hAnsi="Arial" w:cs="Arial"/>
          <w:sz w:val="22"/>
          <w:szCs w:val="22"/>
        </w:rPr>
      </w:pPr>
    </w:p>
    <w:p w:rsidR="00AB0FDD" w:rsidRDefault="00AB0FDD" w:rsidP="007116B7">
      <w:pPr>
        <w:jc w:val="both"/>
        <w:rPr>
          <w:rFonts w:ascii="Arial" w:hAnsi="Arial" w:cs="Arial"/>
          <w:sz w:val="22"/>
          <w:szCs w:val="22"/>
        </w:rPr>
      </w:pPr>
    </w:p>
    <w:p w:rsidR="00AB0FDD" w:rsidRDefault="00AB0FDD" w:rsidP="007116B7">
      <w:pPr>
        <w:jc w:val="both"/>
        <w:rPr>
          <w:rFonts w:ascii="Arial" w:hAnsi="Arial" w:cs="Arial"/>
          <w:sz w:val="22"/>
          <w:szCs w:val="22"/>
        </w:rPr>
      </w:pPr>
    </w:p>
    <w:p w:rsidR="00AB0FDD" w:rsidRDefault="00AB0FDD" w:rsidP="007116B7">
      <w:pPr>
        <w:jc w:val="both"/>
        <w:rPr>
          <w:rFonts w:ascii="Arial" w:hAnsi="Arial" w:cs="Arial"/>
          <w:sz w:val="22"/>
          <w:szCs w:val="22"/>
        </w:rPr>
      </w:pPr>
    </w:p>
    <w:p w:rsidR="00AB0FDD" w:rsidRDefault="00AB0FDD" w:rsidP="007116B7">
      <w:pPr>
        <w:jc w:val="both"/>
        <w:rPr>
          <w:rFonts w:ascii="Arial" w:hAnsi="Arial" w:cs="Arial"/>
          <w:sz w:val="22"/>
          <w:szCs w:val="22"/>
        </w:rPr>
      </w:pPr>
    </w:p>
    <w:p w:rsidR="00AB0FDD" w:rsidRDefault="00AB0FDD" w:rsidP="007116B7">
      <w:pPr>
        <w:jc w:val="both"/>
        <w:rPr>
          <w:rFonts w:ascii="Arial" w:hAnsi="Arial" w:cs="Arial"/>
          <w:sz w:val="22"/>
          <w:szCs w:val="22"/>
        </w:rPr>
      </w:pPr>
    </w:p>
    <w:p w:rsidR="00AB0FDD" w:rsidRDefault="00AB0FDD" w:rsidP="007116B7">
      <w:pPr>
        <w:jc w:val="both"/>
        <w:rPr>
          <w:rFonts w:ascii="Arial" w:hAnsi="Arial" w:cs="Arial"/>
          <w:sz w:val="22"/>
          <w:szCs w:val="22"/>
        </w:rPr>
      </w:pPr>
    </w:p>
    <w:p w:rsidR="00AB0FDD" w:rsidRDefault="00AB0FDD" w:rsidP="007116B7">
      <w:pPr>
        <w:jc w:val="both"/>
        <w:rPr>
          <w:rFonts w:ascii="Arial" w:hAnsi="Arial" w:cs="Arial"/>
          <w:sz w:val="22"/>
          <w:szCs w:val="22"/>
        </w:rPr>
      </w:pPr>
    </w:p>
    <w:p w:rsidR="00AB0FDD" w:rsidRDefault="00AB0FDD" w:rsidP="007116B7">
      <w:pPr>
        <w:jc w:val="both"/>
        <w:rPr>
          <w:rFonts w:ascii="Arial" w:hAnsi="Arial" w:cs="Arial"/>
          <w:sz w:val="22"/>
          <w:szCs w:val="22"/>
        </w:rPr>
      </w:pPr>
    </w:p>
    <w:p w:rsidR="00AB0FDD" w:rsidRDefault="00AB0FDD" w:rsidP="007116B7">
      <w:pPr>
        <w:jc w:val="both"/>
        <w:rPr>
          <w:rFonts w:ascii="Arial" w:hAnsi="Arial" w:cs="Arial"/>
          <w:sz w:val="22"/>
          <w:szCs w:val="22"/>
        </w:rPr>
      </w:pPr>
    </w:p>
    <w:p w:rsidR="00AB0FDD" w:rsidRDefault="00AB0FDD" w:rsidP="007116B7">
      <w:pPr>
        <w:jc w:val="both"/>
        <w:rPr>
          <w:rFonts w:ascii="Arial" w:hAnsi="Arial" w:cs="Arial"/>
          <w:sz w:val="22"/>
          <w:szCs w:val="22"/>
        </w:rPr>
      </w:pPr>
    </w:p>
    <w:p w:rsidR="00C813F3" w:rsidRDefault="001C0C88" w:rsidP="00C813F3">
      <w:pPr>
        <w:pStyle w:val="Paragrafoelenco"/>
        <w:autoSpaceDE w:val="0"/>
        <w:autoSpaceDN w:val="0"/>
        <w:adjustRightInd w:val="0"/>
        <w:ind w:left="0"/>
        <w:contextualSpacing w:val="0"/>
        <w:rPr>
          <w:rFonts w:ascii="Arial Narrow" w:hAnsi="Arial Narrow" w:cs="Arial"/>
          <w:b/>
          <w:iCs/>
          <w:noProof/>
          <w:color w:val="1F497D" w:themeColor="text2"/>
          <w:sz w:val="22"/>
          <w:szCs w:val="22"/>
        </w:rPr>
      </w:pPr>
      <w:r w:rsidRPr="00E80B57">
        <w:rPr>
          <w:rFonts w:ascii="Arial Black" w:hAnsi="Arial Black" w:cs="Arial"/>
          <w:iCs/>
          <w:noProof/>
          <w:color w:val="1F497D" w:themeColor="text2"/>
          <w:sz w:val="22"/>
          <w:szCs w:val="22"/>
        </w:rPr>
        <w:t xml:space="preserve">FIGURA </w:t>
      </w:r>
      <w:r>
        <w:rPr>
          <w:rFonts w:ascii="Arial Black" w:hAnsi="Arial Black" w:cs="Arial"/>
          <w:iCs/>
          <w:noProof/>
          <w:color w:val="1F497D" w:themeColor="text2"/>
          <w:sz w:val="22"/>
          <w:szCs w:val="22"/>
        </w:rPr>
        <w:t>4</w:t>
      </w:r>
      <w:r>
        <w:rPr>
          <w:rFonts w:ascii="Arial Narrow" w:hAnsi="Arial Narrow" w:cs="Arial"/>
          <w:b/>
          <w:iCs/>
          <w:noProof/>
          <w:color w:val="1F497D" w:themeColor="text2"/>
          <w:sz w:val="22"/>
          <w:szCs w:val="22"/>
        </w:rPr>
        <w:t>.UNITA’ DI LAVORO (ULA) REGOLARI E NON REGOLARI</w:t>
      </w:r>
    </w:p>
    <w:p w:rsidR="001C0C88" w:rsidRPr="00C813F3" w:rsidRDefault="001C0C88" w:rsidP="00C813F3">
      <w:pPr>
        <w:pStyle w:val="Paragrafoelenco"/>
        <w:autoSpaceDE w:val="0"/>
        <w:autoSpaceDN w:val="0"/>
        <w:adjustRightInd w:val="0"/>
        <w:ind w:left="0"/>
        <w:contextualSpacing w:val="0"/>
        <w:rPr>
          <w:rFonts w:ascii="Arial Narrow" w:hAnsi="Arial Narrow" w:cs="Arial"/>
          <w:iCs/>
          <w:noProof/>
          <w:color w:val="1F497D" w:themeColor="text2"/>
          <w:sz w:val="22"/>
          <w:szCs w:val="22"/>
        </w:rPr>
      </w:pPr>
      <w:r>
        <w:rPr>
          <w:rFonts w:ascii="Arial Narrow" w:hAnsi="Arial Narrow" w:cs="Arial"/>
          <w:iCs/>
          <w:noProof/>
          <w:color w:val="1F497D" w:themeColor="text2"/>
          <w:sz w:val="22"/>
          <w:szCs w:val="22"/>
        </w:rPr>
        <w:t>Anni 2014-2017</w:t>
      </w:r>
      <w:r w:rsidR="00C813F3">
        <w:rPr>
          <w:rFonts w:ascii="Arial Narrow" w:hAnsi="Arial Narrow" w:cs="Arial"/>
          <w:iCs/>
          <w:noProof/>
          <w:color w:val="1F497D" w:themeColor="text2"/>
          <w:sz w:val="22"/>
          <w:szCs w:val="22"/>
        </w:rPr>
        <w:t xml:space="preserve">. </w:t>
      </w:r>
      <w:r w:rsidRPr="00C813F3">
        <w:rPr>
          <w:rFonts w:ascii="Arial Narrow" w:hAnsi="Arial Narrow" w:cs="Arial"/>
          <w:iCs/>
          <w:noProof/>
          <w:color w:val="1F497D" w:themeColor="text2"/>
          <w:sz w:val="22"/>
          <w:szCs w:val="22"/>
        </w:rPr>
        <w:t>Valori in migliaia</w:t>
      </w:r>
      <w:r w:rsidR="004B718A" w:rsidRPr="00C813F3">
        <w:rPr>
          <w:rFonts w:ascii="Arial Narrow" w:hAnsi="Arial Narrow" w:cs="Arial"/>
          <w:iCs/>
          <w:noProof/>
          <w:color w:val="1F497D" w:themeColor="text2"/>
          <w:sz w:val="22"/>
          <w:szCs w:val="22"/>
        </w:rPr>
        <w:t>,</w:t>
      </w:r>
      <w:r w:rsidRPr="00C813F3">
        <w:rPr>
          <w:rFonts w:ascii="Arial Narrow" w:hAnsi="Arial Narrow" w:cs="Arial"/>
          <w:iCs/>
          <w:noProof/>
          <w:color w:val="1F497D" w:themeColor="text2"/>
          <w:sz w:val="22"/>
          <w:szCs w:val="22"/>
        </w:rPr>
        <w:t>tass</w:t>
      </w:r>
      <w:r w:rsidR="004B718A" w:rsidRPr="00C813F3">
        <w:rPr>
          <w:rFonts w:ascii="Arial Narrow" w:hAnsi="Arial Narrow" w:cs="Arial"/>
          <w:iCs/>
          <w:noProof/>
          <w:color w:val="1F497D" w:themeColor="text2"/>
          <w:sz w:val="22"/>
          <w:szCs w:val="22"/>
        </w:rPr>
        <w:t>o</w:t>
      </w:r>
      <w:r w:rsidRPr="00C813F3">
        <w:rPr>
          <w:rFonts w:ascii="Arial Narrow" w:hAnsi="Arial Narrow" w:cs="Arial"/>
          <w:iCs/>
          <w:noProof/>
          <w:color w:val="1F497D" w:themeColor="text2"/>
          <w:sz w:val="22"/>
          <w:szCs w:val="22"/>
        </w:rPr>
        <w:t xml:space="preserve"> di irregolarità</w:t>
      </w:r>
      <w:r w:rsidR="004B718A" w:rsidRPr="00C813F3">
        <w:rPr>
          <w:rFonts w:ascii="Arial Narrow" w:hAnsi="Arial Narrow" w:cs="Arial"/>
          <w:iCs/>
          <w:noProof/>
          <w:color w:val="1F497D" w:themeColor="text2"/>
          <w:sz w:val="22"/>
          <w:szCs w:val="22"/>
        </w:rPr>
        <w:t xml:space="preserve"> e </w:t>
      </w:r>
      <w:r w:rsidRPr="00C813F3">
        <w:rPr>
          <w:rFonts w:ascii="Arial Narrow" w:hAnsi="Arial Narrow" w:cs="Arial"/>
          <w:iCs/>
          <w:noProof/>
          <w:color w:val="1F497D" w:themeColor="text2"/>
          <w:sz w:val="22"/>
          <w:szCs w:val="22"/>
        </w:rPr>
        <w:t xml:space="preserve"> variazioni percentuali</w:t>
      </w:r>
    </w:p>
    <w:p w:rsidR="00127682" w:rsidRDefault="00127682" w:rsidP="00127682">
      <w:pPr>
        <w:pStyle w:val="Paragrafoelenco"/>
        <w:autoSpaceDE w:val="0"/>
        <w:autoSpaceDN w:val="0"/>
        <w:adjustRightInd w:val="0"/>
        <w:ind w:left="0"/>
        <w:contextualSpacing w:val="0"/>
        <w:rPr>
          <w:rFonts w:ascii="Arial Narrow" w:hAnsi="Arial Narrow" w:cs="Arial"/>
          <w:iCs/>
          <w:noProof/>
          <w:color w:val="1F497D" w:themeColor="text2"/>
          <w:sz w:val="22"/>
          <w:szCs w:val="22"/>
        </w:rPr>
      </w:pPr>
    </w:p>
    <w:p w:rsidR="009B4138" w:rsidRDefault="00934608" w:rsidP="0078797B">
      <w:pPr>
        <w:rPr>
          <w:rFonts w:ascii="Arial" w:hAnsi="Arial" w:cs="Arial"/>
          <w:b/>
          <w:color w:val="1F497D" w:themeColor="text2"/>
          <w:sz w:val="26"/>
          <w:szCs w:val="26"/>
        </w:rPr>
      </w:pPr>
      <w:r>
        <w:rPr>
          <w:rFonts w:ascii="Arial" w:hAnsi="Arial" w:cs="Arial"/>
          <w:noProof/>
          <w:sz w:val="22"/>
          <w:szCs w:val="22"/>
        </w:rPr>
        <mc:AlternateContent>
          <mc:Choice Requires="wps">
            <w:drawing>
              <wp:anchor distT="0" distB="0" distL="114300" distR="114300" simplePos="0" relativeHeight="251688960" behindDoc="0" locked="0" layoutInCell="1" allowOverlap="1">
                <wp:simplePos x="0" y="0"/>
                <wp:positionH relativeFrom="column">
                  <wp:posOffset>2830830</wp:posOffset>
                </wp:positionH>
                <wp:positionV relativeFrom="paragraph">
                  <wp:posOffset>2120900</wp:posOffset>
                </wp:positionV>
                <wp:extent cx="257175" cy="208280"/>
                <wp:effectExtent l="0" t="0" r="0" b="0"/>
                <wp:wrapNone/>
                <wp:docPr id="18" name="Casella di tes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175" cy="208280"/>
                        </a:xfrm>
                        <a:prstGeom prst="rect">
                          <a:avLst/>
                        </a:prstGeom>
                        <a:solidFill>
                          <a:srgbClr val="FFFFFF">
                            <a:alpha val="0"/>
                          </a:srgbClr>
                        </a:solidFill>
                        <a:ln w="6350">
                          <a:noFill/>
                        </a:ln>
                      </wps:spPr>
                      <wps:txbx>
                        <w:txbxContent>
                          <w:p w:rsidR="00DC4941" w:rsidRPr="00DC4941" w:rsidRDefault="00DC4941">
                            <w:pPr>
                              <w:rPr>
                                <w:rFonts w:ascii="Arial Narrow" w:hAnsi="Arial Narrow"/>
                                <w:sz w:val="16"/>
                                <w:szCs w:val="16"/>
                              </w:rPr>
                            </w:pPr>
                            <w:r w:rsidRPr="00DC4941">
                              <w:rPr>
                                <w:rFonts w:ascii="Arial Narrow" w:hAnsi="Arial Narrow"/>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Casella di testo 18" o:spid="_x0000_s1028" type="#_x0000_t202" style="position:absolute;margin-left:222.9pt;margin-top:167pt;width:20.25pt;height:16.4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" stroked="f" strokeweight=".5pt">
                <v:fill opacity="0"/>
                <v:path arrowok="t"/>
                <v:textbox style="mso-fit-shape-to-text:t">
                  <w:txbxContent>
                    <w:p w:rsidR="00DC4941" w:rsidRPr="00DC4941" w:rsidRDefault="00DC4941">
                      <w:pPr>
                        <w:rPr>
                          <w:rFonts w:ascii="Arial Narrow" w:hAnsi="Arial Narrow"/>
                          <w:sz w:val="16"/>
                          <w:szCs w:val="16"/>
                        </w:rPr>
                      </w:pPr>
                      <w:r w:rsidRPr="00DC4941">
                        <w:rPr>
                          <w:rFonts w:ascii="Arial Narrow" w:hAnsi="Arial Narrow"/>
                          <w:sz w:val="16"/>
                          <w:szCs w:val="16"/>
                        </w:rPr>
                        <w:t>%</w:t>
                      </w:r>
                    </w:p>
                  </w:txbxContent>
                </v:textbox>
              </v:shape>
            </w:pict>
          </mc:Fallback>
        </mc:AlternateContent>
      </w:r>
      <w:r w:rsidR="009377E0">
        <w:rPr>
          <w:noProof/>
        </w:rPr>
        <w:drawing>
          <wp:inline distT="0" distB="0" distL="0" distR="0" wp14:anchorId="14A19F27" wp14:editId="17636221">
            <wp:extent cx="3132000" cy="2304000"/>
            <wp:effectExtent l="0" t="0" r="0" b="0"/>
            <wp:docPr id="4"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9377E0">
        <w:rPr>
          <w:noProof/>
        </w:rPr>
        <w:drawing>
          <wp:inline distT="0" distB="0" distL="0" distR="0" wp14:anchorId="5AB84B7D" wp14:editId="6B34E525">
            <wp:extent cx="3132000" cy="2304000"/>
            <wp:effectExtent l="0" t="0" r="0" b="0"/>
            <wp:docPr id="9" name="Gra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9B4138">
        <w:rPr>
          <w:rFonts w:ascii="Arial" w:hAnsi="Arial" w:cs="Arial"/>
          <w:b/>
          <w:color w:val="1F497D" w:themeColor="text2"/>
          <w:sz w:val="26"/>
          <w:szCs w:val="26"/>
        </w:rPr>
        <w:br w:type="page"/>
      </w:r>
    </w:p>
    <w:p w:rsidR="0004769F" w:rsidRPr="004F60BC" w:rsidRDefault="009B109A" w:rsidP="0004769F">
      <w:pPr>
        <w:spacing w:after="200"/>
        <w:jc w:val="both"/>
        <w:outlineLvl w:val="0"/>
        <w:rPr>
          <w:rFonts w:ascii="Arial" w:hAnsi="Arial" w:cs="Arial"/>
          <w:b/>
          <w:color w:val="1F497D" w:themeColor="text2"/>
          <w:sz w:val="26"/>
          <w:szCs w:val="26"/>
        </w:rPr>
      </w:pPr>
      <w:r>
        <w:rPr>
          <w:rFonts w:ascii="Arial" w:hAnsi="Arial" w:cs="Arial"/>
          <w:b/>
          <w:color w:val="1F497D" w:themeColor="text2"/>
          <w:sz w:val="26"/>
          <w:szCs w:val="26"/>
        </w:rPr>
        <w:lastRenderedPageBreak/>
        <w:t>Stabile i</w:t>
      </w:r>
      <w:r w:rsidR="00464FAB" w:rsidRPr="004F60BC">
        <w:rPr>
          <w:rFonts w:ascii="Arial" w:hAnsi="Arial" w:cs="Arial"/>
          <w:b/>
          <w:color w:val="1F497D" w:themeColor="text2"/>
          <w:sz w:val="26"/>
          <w:szCs w:val="26"/>
        </w:rPr>
        <w:t xml:space="preserve">l lavoro irregolare </w:t>
      </w:r>
      <w:r w:rsidR="004F60BC">
        <w:rPr>
          <w:rFonts w:ascii="Arial" w:hAnsi="Arial" w:cs="Arial"/>
          <w:b/>
          <w:color w:val="1F497D" w:themeColor="text2"/>
          <w:sz w:val="26"/>
          <w:szCs w:val="26"/>
        </w:rPr>
        <w:t>per settore</w:t>
      </w:r>
      <w:r w:rsidR="00936ECD">
        <w:rPr>
          <w:rFonts w:ascii="Arial" w:hAnsi="Arial" w:cs="Arial"/>
          <w:b/>
          <w:color w:val="1F497D" w:themeColor="text2"/>
          <w:sz w:val="26"/>
          <w:szCs w:val="26"/>
        </w:rPr>
        <w:t xml:space="preserve"> di attività economica</w:t>
      </w:r>
    </w:p>
    <w:p w:rsidR="00936ECD" w:rsidRDefault="00936ECD" w:rsidP="00936ECD">
      <w:pPr>
        <w:pStyle w:val="Default"/>
        <w:jc w:val="both"/>
        <w:rPr>
          <w:rFonts w:ascii="Arial" w:hAnsi="Arial" w:cs="Arial"/>
          <w:iCs/>
          <w:noProof/>
          <w:sz w:val="22"/>
          <w:szCs w:val="22"/>
        </w:rPr>
      </w:pPr>
      <w:r>
        <w:rPr>
          <w:rFonts w:ascii="Arial" w:hAnsi="Arial" w:cs="Arial"/>
          <w:sz w:val="22"/>
          <w:szCs w:val="22"/>
        </w:rPr>
        <w:t>L</w:t>
      </w:r>
      <w:r w:rsidRPr="000C5D39">
        <w:rPr>
          <w:rFonts w:ascii="Arial" w:hAnsi="Arial" w:cs="Arial"/>
          <w:iCs/>
          <w:noProof/>
          <w:sz w:val="22"/>
          <w:szCs w:val="22"/>
        </w:rPr>
        <w:t xml:space="preserve">’incidenza del lavoro irregolare è </w:t>
      </w:r>
      <w:r w:rsidR="00421F08">
        <w:rPr>
          <w:rFonts w:ascii="Arial" w:hAnsi="Arial" w:cs="Arial"/>
          <w:iCs/>
          <w:noProof/>
          <w:sz w:val="22"/>
          <w:szCs w:val="22"/>
        </w:rPr>
        <w:t>più elevata</w:t>
      </w:r>
      <w:r w:rsidRPr="000C5D39">
        <w:rPr>
          <w:rFonts w:ascii="Arial" w:hAnsi="Arial" w:cs="Arial"/>
          <w:iCs/>
          <w:noProof/>
          <w:sz w:val="22"/>
          <w:szCs w:val="22"/>
        </w:rPr>
        <w:t xml:space="preserve"> ne</w:t>
      </w:r>
      <w:r w:rsidRPr="000C5D39">
        <w:rPr>
          <w:rFonts w:ascii="Arial" w:hAnsi="Arial" w:cs="Arial"/>
          <w:sz w:val="22"/>
          <w:szCs w:val="22"/>
        </w:rPr>
        <w:t>l settore</w:t>
      </w:r>
      <w:r>
        <w:rPr>
          <w:rFonts w:ascii="Arial" w:hAnsi="Arial" w:cs="Arial"/>
          <w:sz w:val="22"/>
          <w:szCs w:val="22"/>
        </w:rPr>
        <w:t xml:space="preserve"> dei serviz</w:t>
      </w:r>
      <w:r w:rsidR="004D2002">
        <w:rPr>
          <w:rFonts w:ascii="Arial" w:hAnsi="Arial" w:cs="Arial"/>
          <w:sz w:val="22"/>
          <w:szCs w:val="22"/>
        </w:rPr>
        <w:t>i</w:t>
      </w:r>
      <w:r w:rsidR="00652F7A">
        <w:rPr>
          <w:rFonts w:ascii="Arial" w:hAnsi="Arial" w:cs="Arial"/>
          <w:sz w:val="22"/>
          <w:szCs w:val="22"/>
        </w:rPr>
        <w:t xml:space="preserve"> (16,8%)</w:t>
      </w:r>
      <w:r w:rsidR="00D77B51">
        <w:rPr>
          <w:rFonts w:ascii="Arial" w:hAnsi="Arial" w:cs="Arial"/>
          <w:sz w:val="22"/>
          <w:szCs w:val="22"/>
        </w:rPr>
        <w:t xml:space="preserve"> </w:t>
      </w:r>
      <w:r w:rsidR="00396A20">
        <w:rPr>
          <w:rFonts w:ascii="Arial" w:hAnsi="Arial" w:cs="Arial"/>
          <w:sz w:val="22"/>
          <w:szCs w:val="22"/>
        </w:rPr>
        <w:t xml:space="preserve">e </w:t>
      </w:r>
      <w:r w:rsidR="00652F7A">
        <w:rPr>
          <w:rFonts w:ascii="Arial" w:hAnsi="Arial" w:cs="Arial"/>
          <w:sz w:val="22"/>
          <w:szCs w:val="22"/>
        </w:rPr>
        <w:t>raggiunge livelli particolarmente elevati</w:t>
      </w:r>
      <w:r>
        <w:rPr>
          <w:rFonts w:ascii="Arial" w:hAnsi="Arial" w:cs="Arial"/>
          <w:sz w:val="22"/>
          <w:szCs w:val="22"/>
        </w:rPr>
        <w:t xml:space="preserve"> nel comparto</w:t>
      </w:r>
      <w:r w:rsidRPr="000C5D39">
        <w:rPr>
          <w:rFonts w:ascii="Arial" w:hAnsi="Arial" w:cs="Arial"/>
          <w:sz w:val="22"/>
          <w:szCs w:val="22"/>
        </w:rPr>
        <w:t xml:space="preserve"> degli Altri servizi alle persone (47,7%)</w:t>
      </w:r>
      <w:r w:rsidR="00D77B51">
        <w:rPr>
          <w:rFonts w:ascii="Arial" w:hAnsi="Arial" w:cs="Arial"/>
          <w:sz w:val="22"/>
          <w:szCs w:val="22"/>
        </w:rPr>
        <w:t xml:space="preserve"> </w:t>
      </w:r>
      <w:r w:rsidR="00421F08">
        <w:rPr>
          <w:rFonts w:ascii="Arial" w:hAnsi="Arial" w:cs="Arial"/>
          <w:sz w:val="22"/>
          <w:szCs w:val="22"/>
        </w:rPr>
        <w:t>dove</w:t>
      </w:r>
      <w:r w:rsidR="00652F7A">
        <w:rPr>
          <w:rFonts w:ascii="Arial" w:hAnsi="Arial" w:cs="Arial"/>
          <w:sz w:val="22"/>
          <w:szCs w:val="22"/>
        </w:rPr>
        <w:t xml:space="preserve"> la d</w:t>
      </w:r>
      <w:r w:rsidR="00421F08">
        <w:rPr>
          <w:rFonts w:ascii="Arial" w:hAnsi="Arial" w:cs="Arial"/>
          <w:sz w:val="22"/>
          <w:szCs w:val="22"/>
        </w:rPr>
        <w:t>o</w:t>
      </w:r>
      <w:r w:rsidR="00652F7A">
        <w:rPr>
          <w:rFonts w:ascii="Arial" w:hAnsi="Arial" w:cs="Arial"/>
          <w:sz w:val="22"/>
          <w:szCs w:val="22"/>
        </w:rPr>
        <w:t xml:space="preserve">manda di </w:t>
      </w:r>
      <w:r w:rsidR="00421F08">
        <w:rPr>
          <w:rFonts w:ascii="Arial" w:hAnsi="Arial" w:cs="Arial"/>
          <w:sz w:val="22"/>
          <w:szCs w:val="22"/>
        </w:rPr>
        <w:t xml:space="preserve">prestazione lavorative </w:t>
      </w:r>
      <w:r w:rsidR="00396A20">
        <w:rPr>
          <w:rFonts w:ascii="Arial" w:hAnsi="Arial" w:cs="Arial"/>
          <w:sz w:val="22"/>
          <w:szCs w:val="22"/>
        </w:rPr>
        <w:t xml:space="preserve">non regolari </w:t>
      </w:r>
      <w:r w:rsidR="00652F7A">
        <w:rPr>
          <w:rFonts w:ascii="Arial" w:hAnsi="Arial" w:cs="Arial"/>
          <w:sz w:val="22"/>
          <w:szCs w:val="22"/>
        </w:rPr>
        <w:t>da parte delle famiglie è rilevante</w:t>
      </w:r>
      <w:r>
        <w:rPr>
          <w:rFonts w:ascii="Arial" w:hAnsi="Arial" w:cs="Arial"/>
          <w:sz w:val="22"/>
          <w:szCs w:val="22"/>
        </w:rPr>
        <w:t xml:space="preserve">. </w:t>
      </w:r>
      <w:r w:rsidR="00396A20">
        <w:rPr>
          <w:rFonts w:ascii="Arial" w:hAnsi="Arial" w:cs="Arial"/>
          <w:sz w:val="22"/>
          <w:szCs w:val="22"/>
        </w:rPr>
        <w:t xml:space="preserve">Molto </w:t>
      </w:r>
      <w:r>
        <w:rPr>
          <w:rFonts w:ascii="Arial" w:hAnsi="Arial" w:cs="Arial"/>
          <w:sz w:val="22"/>
          <w:szCs w:val="22"/>
        </w:rPr>
        <w:t>significativa</w:t>
      </w:r>
      <w:r w:rsidRPr="000C5D39">
        <w:rPr>
          <w:rFonts w:ascii="Arial" w:hAnsi="Arial" w:cs="Arial"/>
          <w:iCs/>
          <w:noProof/>
          <w:sz w:val="22"/>
          <w:szCs w:val="22"/>
        </w:rPr>
        <w:t xml:space="preserve"> risulta </w:t>
      </w:r>
      <w:r>
        <w:rPr>
          <w:rFonts w:ascii="Arial" w:hAnsi="Arial" w:cs="Arial"/>
          <w:iCs/>
          <w:noProof/>
          <w:sz w:val="22"/>
          <w:szCs w:val="22"/>
        </w:rPr>
        <w:t xml:space="preserve">la presenza di lavoratori irregolari </w:t>
      </w:r>
      <w:r w:rsidR="00396A20">
        <w:rPr>
          <w:rFonts w:ascii="Arial" w:hAnsi="Arial" w:cs="Arial"/>
          <w:iCs/>
          <w:noProof/>
          <w:sz w:val="22"/>
          <w:szCs w:val="22"/>
        </w:rPr>
        <w:t xml:space="preserve">anche </w:t>
      </w:r>
      <w:r>
        <w:rPr>
          <w:rFonts w:ascii="Arial" w:hAnsi="Arial" w:cs="Arial"/>
          <w:iCs/>
          <w:noProof/>
          <w:sz w:val="22"/>
          <w:szCs w:val="22"/>
        </w:rPr>
        <w:t>in a</w:t>
      </w:r>
      <w:r w:rsidRPr="000C5D39">
        <w:rPr>
          <w:rFonts w:ascii="Arial" w:hAnsi="Arial" w:cs="Arial"/>
          <w:iCs/>
          <w:noProof/>
          <w:sz w:val="22"/>
          <w:szCs w:val="22"/>
        </w:rPr>
        <w:t xml:space="preserve">gricoltura (18,4%), </w:t>
      </w:r>
      <w:r>
        <w:rPr>
          <w:rFonts w:ascii="Arial" w:hAnsi="Arial" w:cs="Arial"/>
          <w:iCs/>
          <w:noProof/>
          <w:sz w:val="22"/>
          <w:szCs w:val="22"/>
        </w:rPr>
        <w:t>nelle c</w:t>
      </w:r>
      <w:r w:rsidRPr="000C5D39">
        <w:rPr>
          <w:rFonts w:ascii="Arial" w:hAnsi="Arial" w:cs="Arial"/>
          <w:iCs/>
          <w:noProof/>
          <w:sz w:val="22"/>
          <w:szCs w:val="22"/>
        </w:rPr>
        <w:t xml:space="preserve">ostruzioni (17,0%) e </w:t>
      </w:r>
      <w:r>
        <w:rPr>
          <w:rFonts w:ascii="Arial" w:hAnsi="Arial" w:cs="Arial"/>
          <w:iCs/>
          <w:noProof/>
          <w:sz w:val="22"/>
          <w:szCs w:val="22"/>
        </w:rPr>
        <w:t>ne</w:t>
      </w:r>
      <w:r w:rsidRPr="000C5D39">
        <w:rPr>
          <w:rFonts w:ascii="Arial" w:hAnsi="Arial" w:cs="Arial"/>
          <w:iCs/>
          <w:noProof/>
          <w:sz w:val="22"/>
          <w:szCs w:val="22"/>
        </w:rPr>
        <w:t xml:space="preserve">l Commercio, trasporti, alloggio e ristorazione (15,8%). </w:t>
      </w:r>
    </w:p>
    <w:p w:rsidR="00AE70A1" w:rsidRPr="000C5D39" w:rsidRDefault="00AE70A1" w:rsidP="00936ECD">
      <w:pPr>
        <w:pStyle w:val="Default"/>
        <w:jc w:val="both"/>
        <w:rPr>
          <w:rFonts w:ascii="Arial" w:hAnsi="Arial" w:cs="Arial"/>
          <w:iCs/>
          <w:noProof/>
          <w:sz w:val="22"/>
          <w:szCs w:val="22"/>
        </w:rPr>
      </w:pPr>
    </w:p>
    <w:p w:rsidR="00421F08" w:rsidRDefault="00936ECD" w:rsidP="000314E2">
      <w:pPr>
        <w:pStyle w:val="Default"/>
        <w:jc w:val="both"/>
        <w:rPr>
          <w:rFonts w:ascii="Arial" w:hAnsi="Arial" w:cs="Arial"/>
          <w:sz w:val="22"/>
          <w:szCs w:val="22"/>
        </w:rPr>
      </w:pPr>
      <w:r w:rsidRPr="00652F7A">
        <w:rPr>
          <w:rFonts w:ascii="Arial" w:hAnsi="Arial" w:cs="Arial"/>
          <w:iCs/>
          <w:noProof/>
          <w:sz w:val="22"/>
          <w:szCs w:val="22"/>
        </w:rPr>
        <w:t>In termini assoluti</w:t>
      </w:r>
      <w:r w:rsidR="00421F08">
        <w:rPr>
          <w:rFonts w:ascii="Arial" w:hAnsi="Arial" w:cs="Arial"/>
          <w:iCs/>
          <w:noProof/>
          <w:sz w:val="22"/>
          <w:szCs w:val="22"/>
        </w:rPr>
        <w:t>, ne</w:t>
      </w:r>
      <w:r w:rsidR="00652F7A" w:rsidRPr="00652F7A">
        <w:rPr>
          <w:rFonts w:ascii="Arial" w:hAnsi="Arial" w:cs="Arial"/>
          <w:iCs/>
          <w:noProof/>
          <w:sz w:val="22"/>
          <w:szCs w:val="22"/>
        </w:rPr>
        <w:t xml:space="preserve">l comparto del commercio e quello degli </w:t>
      </w:r>
      <w:r w:rsidR="00421F08">
        <w:rPr>
          <w:rFonts w:ascii="Arial" w:hAnsi="Arial" w:cs="Arial"/>
          <w:iCs/>
          <w:noProof/>
          <w:sz w:val="22"/>
          <w:szCs w:val="22"/>
        </w:rPr>
        <w:t>Altri</w:t>
      </w:r>
      <w:r w:rsidR="00C675F7">
        <w:rPr>
          <w:rFonts w:ascii="Arial" w:hAnsi="Arial" w:cs="Arial"/>
          <w:iCs/>
          <w:noProof/>
          <w:sz w:val="22"/>
          <w:szCs w:val="22"/>
        </w:rPr>
        <w:t xml:space="preserve"> </w:t>
      </w:r>
      <w:r w:rsidRPr="00652F7A">
        <w:rPr>
          <w:rFonts w:ascii="Arial" w:hAnsi="Arial" w:cs="Arial"/>
          <w:sz w:val="22"/>
          <w:szCs w:val="22"/>
        </w:rPr>
        <w:t>servizi alle persone</w:t>
      </w:r>
      <w:r w:rsidR="00710108">
        <w:rPr>
          <w:rFonts w:ascii="Arial" w:hAnsi="Arial" w:cs="Arial"/>
          <w:sz w:val="22"/>
          <w:szCs w:val="22"/>
        </w:rPr>
        <w:t xml:space="preserve"> </w:t>
      </w:r>
      <w:r w:rsidR="00421F08">
        <w:rPr>
          <w:rFonts w:ascii="Arial" w:hAnsi="Arial" w:cs="Arial"/>
          <w:iCs/>
          <w:noProof/>
          <w:sz w:val="22"/>
          <w:szCs w:val="22"/>
        </w:rPr>
        <w:t>sono impiegate</w:t>
      </w:r>
      <w:r w:rsidRPr="00652F7A">
        <w:rPr>
          <w:rFonts w:ascii="Arial" w:hAnsi="Arial" w:cs="Arial"/>
          <w:iCs/>
          <w:noProof/>
          <w:sz w:val="22"/>
          <w:szCs w:val="22"/>
        </w:rPr>
        <w:t xml:space="preserve"> il 61% del totale delle Ula non regolari (</w:t>
      </w:r>
      <w:r w:rsidR="00421F08">
        <w:rPr>
          <w:rFonts w:ascii="Arial" w:hAnsi="Arial" w:cs="Arial"/>
          <w:sz w:val="22"/>
          <w:szCs w:val="22"/>
        </w:rPr>
        <w:t>il 63,9% delle Ula</w:t>
      </w:r>
      <w:r w:rsidRPr="00652F7A">
        <w:rPr>
          <w:rFonts w:ascii="Arial" w:hAnsi="Arial" w:cs="Arial"/>
          <w:sz w:val="22"/>
          <w:szCs w:val="22"/>
        </w:rPr>
        <w:t xml:space="preserve"> dipendenti e </w:t>
      </w:r>
      <w:r w:rsidR="00421F08">
        <w:rPr>
          <w:rFonts w:ascii="Arial" w:hAnsi="Arial" w:cs="Arial"/>
          <w:sz w:val="22"/>
          <w:szCs w:val="22"/>
        </w:rPr>
        <w:t>il 54,1% delle Ula</w:t>
      </w:r>
      <w:r w:rsidRPr="00652F7A">
        <w:rPr>
          <w:rFonts w:ascii="Arial" w:hAnsi="Arial" w:cs="Arial"/>
          <w:sz w:val="22"/>
          <w:szCs w:val="22"/>
        </w:rPr>
        <w:t xml:space="preserve"> indipendenti)</w:t>
      </w:r>
      <w:r w:rsidR="00652F7A">
        <w:rPr>
          <w:rFonts w:ascii="Arial" w:hAnsi="Arial" w:cs="Arial"/>
          <w:sz w:val="22"/>
          <w:szCs w:val="22"/>
        </w:rPr>
        <w:t>.</w:t>
      </w:r>
      <w:r w:rsidR="00C675F7">
        <w:rPr>
          <w:rFonts w:ascii="Arial" w:hAnsi="Arial" w:cs="Arial"/>
          <w:sz w:val="22"/>
          <w:szCs w:val="22"/>
        </w:rPr>
        <w:t xml:space="preserve"> </w:t>
      </w:r>
      <w:r w:rsidRPr="000C5D39">
        <w:rPr>
          <w:rFonts w:ascii="Arial" w:hAnsi="Arial" w:cs="Arial"/>
          <w:sz w:val="22"/>
          <w:szCs w:val="22"/>
        </w:rPr>
        <w:t xml:space="preserve">Nell’Industria in senso stretto, dove la diffusione del lavoro irregolare </w:t>
      </w:r>
      <w:r>
        <w:rPr>
          <w:rFonts w:ascii="Arial" w:hAnsi="Arial" w:cs="Arial"/>
          <w:sz w:val="22"/>
          <w:szCs w:val="22"/>
        </w:rPr>
        <w:t>è contenuta (</w:t>
      </w:r>
      <w:r w:rsidR="00421F08">
        <w:rPr>
          <w:rFonts w:ascii="Arial" w:hAnsi="Arial" w:cs="Arial"/>
          <w:sz w:val="22"/>
          <w:szCs w:val="22"/>
        </w:rPr>
        <w:t>7,6%</w:t>
      </w:r>
      <w:r w:rsidRPr="000C5D39">
        <w:rPr>
          <w:rFonts w:ascii="Arial" w:hAnsi="Arial" w:cs="Arial"/>
          <w:sz w:val="22"/>
          <w:szCs w:val="22"/>
        </w:rPr>
        <w:t>), il comparto della Produzione di beni alimentari e di consumo presenta il tasso di irregolarità più elevato (9,3%).</w:t>
      </w:r>
    </w:p>
    <w:p w:rsidR="00AE70A1" w:rsidRDefault="00AE70A1" w:rsidP="000314E2">
      <w:pPr>
        <w:pStyle w:val="Default"/>
        <w:jc w:val="both"/>
        <w:rPr>
          <w:rFonts w:ascii="Arial" w:hAnsi="Arial" w:cs="Arial"/>
          <w:sz w:val="22"/>
          <w:szCs w:val="22"/>
        </w:rPr>
      </w:pPr>
    </w:p>
    <w:p w:rsidR="00936ECD" w:rsidRPr="000C5D39" w:rsidRDefault="00936ECD" w:rsidP="00421F08">
      <w:pPr>
        <w:pStyle w:val="Default"/>
        <w:spacing w:after="120"/>
        <w:jc w:val="both"/>
        <w:rPr>
          <w:rFonts w:ascii="Arial" w:hAnsi="Arial" w:cs="Arial"/>
          <w:sz w:val="22"/>
          <w:szCs w:val="22"/>
        </w:rPr>
      </w:pPr>
      <w:r>
        <w:rPr>
          <w:rFonts w:ascii="Arial" w:hAnsi="Arial" w:cs="Arial"/>
          <w:sz w:val="22"/>
          <w:szCs w:val="22"/>
        </w:rPr>
        <w:t xml:space="preserve">Il confronto tra settori evidenzia </w:t>
      </w:r>
      <w:r w:rsidR="00AE70A1">
        <w:rPr>
          <w:rFonts w:ascii="Arial" w:hAnsi="Arial" w:cs="Arial"/>
          <w:sz w:val="22"/>
          <w:szCs w:val="22"/>
        </w:rPr>
        <w:t xml:space="preserve">che </w:t>
      </w:r>
      <w:r>
        <w:rPr>
          <w:rFonts w:ascii="Arial" w:hAnsi="Arial" w:cs="Arial"/>
          <w:sz w:val="22"/>
          <w:szCs w:val="22"/>
        </w:rPr>
        <w:t xml:space="preserve">in </w:t>
      </w:r>
      <w:r w:rsidR="00421F08">
        <w:rPr>
          <w:rFonts w:ascii="Arial" w:hAnsi="Arial" w:cs="Arial"/>
          <w:sz w:val="22"/>
          <w:szCs w:val="22"/>
        </w:rPr>
        <w:t>A</w:t>
      </w:r>
      <w:r w:rsidRPr="000C5D39">
        <w:rPr>
          <w:rFonts w:ascii="Arial" w:hAnsi="Arial" w:cs="Arial"/>
          <w:sz w:val="22"/>
          <w:szCs w:val="22"/>
        </w:rPr>
        <w:t xml:space="preserve">gricoltura l’incidenza del lavoro irregolare dipendente è quasi </w:t>
      </w:r>
      <w:r w:rsidR="00421F08">
        <w:rPr>
          <w:rFonts w:ascii="Arial" w:hAnsi="Arial" w:cs="Arial"/>
          <w:sz w:val="22"/>
          <w:szCs w:val="22"/>
        </w:rPr>
        <w:t>5 volte superiore a quello del lavoro indipendente</w:t>
      </w:r>
      <w:r w:rsidRPr="000C5D39">
        <w:rPr>
          <w:rFonts w:ascii="Arial" w:hAnsi="Arial" w:cs="Arial"/>
          <w:sz w:val="22"/>
          <w:szCs w:val="22"/>
        </w:rPr>
        <w:t xml:space="preserve"> (rispettivamente 38,3% e 7,8%)</w:t>
      </w:r>
      <w:r>
        <w:rPr>
          <w:rFonts w:ascii="Arial" w:hAnsi="Arial" w:cs="Arial"/>
          <w:sz w:val="22"/>
          <w:szCs w:val="22"/>
        </w:rPr>
        <w:t>, mentre negli</w:t>
      </w:r>
      <w:r w:rsidRPr="000C5D39">
        <w:rPr>
          <w:rFonts w:ascii="Arial" w:hAnsi="Arial" w:cs="Arial"/>
          <w:sz w:val="22"/>
          <w:szCs w:val="22"/>
        </w:rPr>
        <w:t xml:space="preserve"> Altri servizi alle imprese e</w:t>
      </w:r>
      <w:r w:rsidR="00421F08">
        <w:rPr>
          <w:rFonts w:ascii="Arial" w:hAnsi="Arial" w:cs="Arial"/>
          <w:sz w:val="22"/>
          <w:szCs w:val="22"/>
        </w:rPr>
        <w:t xml:space="preserve">nel comparto </w:t>
      </w:r>
      <w:r w:rsidRPr="000C5D39">
        <w:rPr>
          <w:rFonts w:ascii="Arial" w:hAnsi="Arial" w:cs="Arial"/>
          <w:sz w:val="22"/>
          <w:szCs w:val="22"/>
        </w:rPr>
        <w:t xml:space="preserve">Istruzione, sanità e assistenza sociale, il tasso di irregolarità degli indipendenti è oltre il doppio </w:t>
      </w:r>
      <w:r w:rsidR="00421F08">
        <w:rPr>
          <w:rFonts w:ascii="Arial" w:hAnsi="Arial" w:cs="Arial"/>
          <w:sz w:val="22"/>
          <w:szCs w:val="22"/>
        </w:rPr>
        <w:t xml:space="preserve">di quello </w:t>
      </w:r>
      <w:r w:rsidRPr="000C5D39">
        <w:rPr>
          <w:rFonts w:ascii="Arial" w:hAnsi="Arial" w:cs="Arial"/>
          <w:sz w:val="22"/>
          <w:szCs w:val="22"/>
        </w:rPr>
        <w:t>dei dipendenti</w:t>
      </w:r>
      <w:r w:rsidR="00421F08">
        <w:rPr>
          <w:rFonts w:ascii="Arial" w:hAnsi="Arial" w:cs="Arial"/>
          <w:sz w:val="22"/>
          <w:szCs w:val="22"/>
        </w:rPr>
        <w:t>.</w:t>
      </w:r>
    </w:p>
    <w:p w:rsidR="00315B9D" w:rsidRDefault="00315B9D" w:rsidP="00315B9D">
      <w:pPr>
        <w:jc w:val="both"/>
        <w:rPr>
          <w:rFonts w:ascii="Arial" w:hAnsi="Arial" w:cs="Arial"/>
          <w:sz w:val="20"/>
        </w:rPr>
      </w:pPr>
    </w:p>
    <w:p w:rsidR="003619BF" w:rsidRDefault="003619BF" w:rsidP="00315B9D">
      <w:pPr>
        <w:jc w:val="both"/>
        <w:rPr>
          <w:rFonts w:ascii="Arial" w:hAnsi="Arial" w:cs="Arial"/>
          <w:sz w:val="20"/>
        </w:rPr>
      </w:pPr>
    </w:p>
    <w:p w:rsidR="003619BF" w:rsidRDefault="003619BF" w:rsidP="00315B9D">
      <w:pPr>
        <w:jc w:val="both"/>
        <w:rPr>
          <w:rFonts w:ascii="Arial" w:hAnsi="Arial" w:cs="Arial"/>
          <w:sz w:val="20"/>
        </w:rPr>
      </w:pPr>
    </w:p>
    <w:p w:rsidR="003619BF" w:rsidRDefault="003619BF" w:rsidP="00315B9D">
      <w:pPr>
        <w:jc w:val="both"/>
        <w:rPr>
          <w:rFonts w:ascii="Arial" w:hAnsi="Arial" w:cs="Arial"/>
          <w:sz w:val="20"/>
        </w:rPr>
      </w:pPr>
    </w:p>
    <w:p w:rsidR="003619BF" w:rsidRDefault="003619BF" w:rsidP="00315B9D">
      <w:pPr>
        <w:jc w:val="both"/>
        <w:rPr>
          <w:rFonts w:ascii="Arial" w:hAnsi="Arial" w:cs="Arial"/>
          <w:sz w:val="20"/>
        </w:rPr>
      </w:pPr>
    </w:p>
    <w:p w:rsidR="003619BF" w:rsidRDefault="003619BF" w:rsidP="00315B9D">
      <w:pPr>
        <w:jc w:val="both"/>
        <w:rPr>
          <w:rFonts w:ascii="Arial" w:hAnsi="Arial" w:cs="Arial"/>
          <w:sz w:val="20"/>
        </w:rPr>
      </w:pPr>
    </w:p>
    <w:p w:rsidR="003619BF" w:rsidRDefault="003619BF" w:rsidP="00315B9D">
      <w:pPr>
        <w:jc w:val="both"/>
        <w:rPr>
          <w:rFonts w:ascii="Arial" w:hAnsi="Arial" w:cs="Arial"/>
          <w:sz w:val="20"/>
        </w:rPr>
      </w:pPr>
    </w:p>
    <w:p w:rsidR="003619BF" w:rsidRDefault="003619BF" w:rsidP="00315B9D">
      <w:pPr>
        <w:jc w:val="both"/>
        <w:rPr>
          <w:rFonts w:ascii="Arial" w:hAnsi="Arial" w:cs="Arial"/>
          <w:sz w:val="20"/>
        </w:rPr>
      </w:pPr>
    </w:p>
    <w:p w:rsidR="00464FAB" w:rsidRDefault="00464FAB" w:rsidP="0004769F">
      <w:pPr>
        <w:autoSpaceDE w:val="0"/>
        <w:autoSpaceDN w:val="0"/>
        <w:adjustRightInd w:val="0"/>
        <w:spacing w:after="120"/>
        <w:jc w:val="both"/>
        <w:rPr>
          <w:rFonts w:ascii="Arial" w:hAnsi="Arial" w:cs="Arial"/>
          <w:b/>
          <w:color w:val="1F497D" w:themeColor="text2"/>
          <w:sz w:val="26"/>
          <w:szCs w:val="26"/>
        </w:rPr>
      </w:pPr>
    </w:p>
    <w:p w:rsidR="00464FAB" w:rsidRDefault="00464FAB" w:rsidP="0004769F">
      <w:pPr>
        <w:autoSpaceDE w:val="0"/>
        <w:autoSpaceDN w:val="0"/>
        <w:adjustRightInd w:val="0"/>
        <w:spacing w:after="120"/>
        <w:jc w:val="both"/>
        <w:rPr>
          <w:rFonts w:ascii="Arial" w:hAnsi="Arial" w:cs="Arial"/>
          <w:b/>
          <w:color w:val="1F497D" w:themeColor="text2"/>
          <w:sz w:val="26"/>
          <w:szCs w:val="26"/>
        </w:rPr>
      </w:pPr>
    </w:p>
    <w:p w:rsidR="00A73DB2" w:rsidRDefault="00A73DB2" w:rsidP="00AE03EF">
      <w:pPr>
        <w:pStyle w:val="Paragrafoelenco"/>
        <w:autoSpaceDE w:val="0"/>
        <w:autoSpaceDN w:val="0"/>
        <w:adjustRightInd w:val="0"/>
        <w:ind w:left="0"/>
        <w:contextualSpacing w:val="0"/>
        <w:rPr>
          <w:rFonts w:ascii="Arial Black" w:hAnsi="Arial Black" w:cs="Arial"/>
          <w:iCs/>
          <w:noProof/>
          <w:color w:val="1F497D" w:themeColor="text2"/>
          <w:sz w:val="22"/>
          <w:szCs w:val="22"/>
        </w:rPr>
      </w:pPr>
    </w:p>
    <w:p w:rsidR="00AB0FDD" w:rsidRDefault="00AB0FDD" w:rsidP="00AE03EF">
      <w:pPr>
        <w:pStyle w:val="Paragrafoelenco"/>
        <w:autoSpaceDE w:val="0"/>
        <w:autoSpaceDN w:val="0"/>
        <w:adjustRightInd w:val="0"/>
        <w:ind w:left="0"/>
        <w:contextualSpacing w:val="0"/>
        <w:rPr>
          <w:rFonts w:ascii="Arial Black" w:hAnsi="Arial Black" w:cs="Arial"/>
          <w:iCs/>
          <w:noProof/>
          <w:color w:val="1F497D" w:themeColor="text2"/>
          <w:sz w:val="22"/>
          <w:szCs w:val="22"/>
        </w:rPr>
      </w:pPr>
    </w:p>
    <w:p w:rsidR="00AE70A1" w:rsidRDefault="00AE70A1" w:rsidP="00AE03EF">
      <w:pPr>
        <w:pStyle w:val="Paragrafoelenco"/>
        <w:autoSpaceDE w:val="0"/>
        <w:autoSpaceDN w:val="0"/>
        <w:adjustRightInd w:val="0"/>
        <w:ind w:left="0"/>
        <w:contextualSpacing w:val="0"/>
        <w:rPr>
          <w:rFonts w:ascii="Arial Black" w:hAnsi="Arial Black" w:cs="Arial"/>
          <w:iCs/>
          <w:noProof/>
          <w:color w:val="1F497D" w:themeColor="text2"/>
          <w:sz w:val="22"/>
          <w:szCs w:val="22"/>
        </w:rPr>
      </w:pPr>
    </w:p>
    <w:p w:rsidR="00B55AB6" w:rsidRDefault="00B55AB6" w:rsidP="00AE03EF">
      <w:pPr>
        <w:pStyle w:val="Paragrafoelenco"/>
        <w:autoSpaceDE w:val="0"/>
        <w:autoSpaceDN w:val="0"/>
        <w:adjustRightInd w:val="0"/>
        <w:ind w:left="0"/>
        <w:contextualSpacing w:val="0"/>
        <w:rPr>
          <w:rFonts w:ascii="Arial Black" w:hAnsi="Arial Black" w:cs="Arial"/>
          <w:iCs/>
          <w:noProof/>
          <w:color w:val="1F497D" w:themeColor="text2"/>
          <w:sz w:val="22"/>
          <w:szCs w:val="22"/>
        </w:rPr>
      </w:pPr>
    </w:p>
    <w:p w:rsidR="00B55AB6" w:rsidRDefault="00B55AB6" w:rsidP="00AE03EF">
      <w:pPr>
        <w:pStyle w:val="Paragrafoelenco"/>
        <w:autoSpaceDE w:val="0"/>
        <w:autoSpaceDN w:val="0"/>
        <w:adjustRightInd w:val="0"/>
        <w:ind w:left="0"/>
        <w:contextualSpacing w:val="0"/>
        <w:rPr>
          <w:rFonts w:ascii="Arial Black" w:hAnsi="Arial Black" w:cs="Arial"/>
          <w:iCs/>
          <w:noProof/>
          <w:color w:val="1F497D" w:themeColor="text2"/>
          <w:sz w:val="22"/>
          <w:szCs w:val="22"/>
        </w:rPr>
      </w:pPr>
    </w:p>
    <w:p w:rsidR="00B55AB6" w:rsidRDefault="00B55AB6" w:rsidP="00AE03EF">
      <w:pPr>
        <w:pStyle w:val="Paragrafoelenco"/>
        <w:autoSpaceDE w:val="0"/>
        <w:autoSpaceDN w:val="0"/>
        <w:adjustRightInd w:val="0"/>
        <w:ind w:left="0"/>
        <w:contextualSpacing w:val="0"/>
        <w:rPr>
          <w:rFonts w:ascii="Arial Black" w:hAnsi="Arial Black" w:cs="Arial"/>
          <w:iCs/>
          <w:noProof/>
          <w:color w:val="1F497D" w:themeColor="text2"/>
          <w:sz w:val="22"/>
          <w:szCs w:val="22"/>
        </w:rPr>
      </w:pPr>
    </w:p>
    <w:p w:rsidR="000505FA" w:rsidRDefault="000505FA" w:rsidP="00AE03EF">
      <w:pPr>
        <w:pStyle w:val="Paragrafoelenco"/>
        <w:autoSpaceDE w:val="0"/>
        <w:autoSpaceDN w:val="0"/>
        <w:adjustRightInd w:val="0"/>
        <w:ind w:left="0"/>
        <w:contextualSpacing w:val="0"/>
        <w:rPr>
          <w:rFonts w:ascii="Arial Black" w:hAnsi="Arial Black" w:cs="Arial"/>
          <w:iCs/>
          <w:noProof/>
          <w:color w:val="1F497D" w:themeColor="text2"/>
          <w:sz w:val="22"/>
          <w:szCs w:val="22"/>
        </w:rPr>
      </w:pPr>
    </w:p>
    <w:p w:rsidR="00A73DB2" w:rsidRPr="007518D6" w:rsidRDefault="00A73DB2" w:rsidP="00AE03EF">
      <w:pPr>
        <w:pStyle w:val="Paragrafoelenco"/>
        <w:autoSpaceDE w:val="0"/>
        <w:autoSpaceDN w:val="0"/>
        <w:adjustRightInd w:val="0"/>
        <w:ind w:left="0"/>
        <w:contextualSpacing w:val="0"/>
        <w:rPr>
          <w:rFonts w:ascii="Arial Black" w:hAnsi="Arial Black" w:cs="Arial"/>
          <w:iCs/>
          <w:noProof/>
          <w:color w:val="1F497D" w:themeColor="text2"/>
          <w:sz w:val="16"/>
          <w:szCs w:val="16"/>
        </w:rPr>
      </w:pPr>
    </w:p>
    <w:p w:rsidR="00AB0FDD" w:rsidRDefault="00AB0FDD" w:rsidP="00AB0FDD">
      <w:pPr>
        <w:pStyle w:val="Paragrafoelenco"/>
        <w:autoSpaceDE w:val="0"/>
        <w:autoSpaceDN w:val="0"/>
        <w:adjustRightInd w:val="0"/>
        <w:ind w:left="0"/>
        <w:contextualSpacing w:val="0"/>
        <w:jc w:val="both"/>
        <w:rPr>
          <w:rFonts w:ascii="Arial Black" w:hAnsi="Arial Black" w:cs="Arial"/>
          <w:iCs/>
          <w:noProof/>
          <w:color w:val="1F497D" w:themeColor="text2"/>
          <w:sz w:val="22"/>
          <w:szCs w:val="22"/>
        </w:rPr>
      </w:pPr>
    </w:p>
    <w:p w:rsidR="00EE66A6" w:rsidRDefault="00EE66A6" w:rsidP="00EE66A6">
      <w:pPr>
        <w:pStyle w:val="Paragrafoelenco"/>
        <w:autoSpaceDE w:val="0"/>
        <w:autoSpaceDN w:val="0"/>
        <w:adjustRightInd w:val="0"/>
        <w:ind w:left="0"/>
        <w:contextualSpacing w:val="0"/>
        <w:rPr>
          <w:rFonts w:ascii="Arial Black" w:hAnsi="Arial Black" w:cs="Arial"/>
          <w:iCs/>
          <w:noProof/>
          <w:color w:val="1F497D" w:themeColor="text2"/>
          <w:sz w:val="22"/>
          <w:szCs w:val="22"/>
        </w:rPr>
      </w:pPr>
    </w:p>
    <w:p w:rsidR="00EE66A6" w:rsidRPr="00860407" w:rsidRDefault="00EE66A6" w:rsidP="00EE66A6">
      <w:pPr>
        <w:pStyle w:val="Paragrafoelenco"/>
        <w:autoSpaceDE w:val="0"/>
        <w:autoSpaceDN w:val="0"/>
        <w:adjustRightInd w:val="0"/>
        <w:ind w:left="0"/>
        <w:contextualSpacing w:val="0"/>
        <w:rPr>
          <w:rFonts w:ascii="Arial Black" w:hAnsi="Arial Black" w:cs="Arial"/>
          <w:iCs/>
          <w:noProof/>
          <w:color w:val="1F497D" w:themeColor="text2"/>
          <w:sz w:val="18"/>
          <w:szCs w:val="22"/>
        </w:rPr>
      </w:pPr>
    </w:p>
    <w:p w:rsidR="00EE66A6" w:rsidRDefault="00A813D5" w:rsidP="00EE66A6">
      <w:pPr>
        <w:pStyle w:val="Paragrafoelenco"/>
        <w:autoSpaceDE w:val="0"/>
        <w:autoSpaceDN w:val="0"/>
        <w:adjustRightInd w:val="0"/>
        <w:ind w:left="0"/>
        <w:contextualSpacing w:val="0"/>
        <w:rPr>
          <w:rFonts w:ascii="Arial Narrow" w:hAnsi="Arial Narrow" w:cs="Arial"/>
          <w:iCs/>
          <w:noProof/>
          <w:color w:val="1F497D" w:themeColor="text2"/>
          <w:sz w:val="22"/>
          <w:szCs w:val="22"/>
        </w:rPr>
      </w:pPr>
      <w:r w:rsidRPr="00A813D5">
        <w:rPr>
          <w:rFonts w:ascii="Arial Black" w:hAnsi="Arial Black" w:cs="Arial"/>
          <w:iCs/>
          <w:noProof/>
          <w:color w:val="1F497D" w:themeColor="text2"/>
          <w:sz w:val="22"/>
          <w:szCs w:val="22"/>
        </w:rPr>
        <w:t>F</w:t>
      </w:r>
      <w:r w:rsidR="00F95137">
        <w:rPr>
          <w:rFonts w:ascii="Arial Black" w:hAnsi="Arial Black" w:cs="Arial"/>
          <w:iCs/>
          <w:noProof/>
          <w:color w:val="1F497D" w:themeColor="text2"/>
          <w:sz w:val="22"/>
          <w:szCs w:val="22"/>
        </w:rPr>
        <w:t xml:space="preserve">IGURA </w:t>
      </w:r>
      <w:r w:rsidRPr="00A813D5">
        <w:rPr>
          <w:rFonts w:ascii="Arial Black" w:hAnsi="Arial Black" w:cs="Arial"/>
          <w:iCs/>
          <w:noProof/>
          <w:color w:val="1F497D" w:themeColor="text2"/>
          <w:sz w:val="22"/>
          <w:szCs w:val="22"/>
        </w:rPr>
        <w:t xml:space="preserve">5. </w:t>
      </w:r>
      <w:r w:rsidR="000505FA" w:rsidRPr="00F95137">
        <w:rPr>
          <w:rFonts w:ascii="Arial Narrow" w:hAnsi="Arial Narrow" w:cs="Arial"/>
          <w:b/>
          <w:iCs/>
          <w:noProof/>
          <w:color w:val="1F497D" w:themeColor="text2"/>
          <w:sz w:val="22"/>
          <w:szCs w:val="22"/>
        </w:rPr>
        <w:t>TASSO DI IRREGOLARIT</w:t>
      </w:r>
      <w:r w:rsidR="00F2763F">
        <w:rPr>
          <w:rFonts w:ascii="Arial Narrow" w:hAnsi="Arial Narrow" w:cs="Arial"/>
          <w:b/>
          <w:iCs/>
          <w:noProof/>
          <w:color w:val="1F497D" w:themeColor="text2"/>
          <w:sz w:val="22"/>
          <w:szCs w:val="22"/>
        </w:rPr>
        <w:t>À</w:t>
      </w:r>
      <w:r w:rsidR="000505FA" w:rsidRPr="00F95137">
        <w:rPr>
          <w:rFonts w:ascii="Arial Narrow" w:hAnsi="Arial Narrow" w:cs="Arial"/>
          <w:b/>
          <w:iCs/>
          <w:noProof/>
          <w:color w:val="1F497D" w:themeColor="text2"/>
          <w:sz w:val="22"/>
          <w:szCs w:val="22"/>
        </w:rPr>
        <w:t xml:space="preserve"> DELLE </w:t>
      </w:r>
      <w:r w:rsidR="002C08AB">
        <w:rPr>
          <w:rFonts w:ascii="Arial Narrow" w:hAnsi="Arial Narrow" w:cs="Arial"/>
          <w:b/>
          <w:iCs/>
          <w:noProof/>
          <w:color w:val="1F497D" w:themeColor="text2"/>
          <w:sz w:val="22"/>
          <w:szCs w:val="22"/>
        </w:rPr>
        <w:t>ULA</w:t>
      </w:r>
      <w:r w:rsidR="000505FA" w:rsidRPr="00F95137">
        <w:rPr>
          <w:rFonts w:ascii="Arial Narrow" w:hAnsi="Arial Narrow" w:cs="Arial"/>
          <w:b/>
          <w:iCs/>
          <w:noProof/>
          <w:color w:val="1F497D" w:themeColor="text2"/>
          <w:sz w:val="22"/>
          <w:szCs w:val="22"/>
        </w:rPr>
        <w:t xml:space="preserve"> PER SETTORE DI ATTIVIT</w:t>
      </w:r>
      <w:r w:rsidR="00F95137" w:rsidRPr="00F95137">
        <w:rPr>
          <w:rFonts w:ascii="Arial Narrow" w:hAnsi="Arial Narrow" w:cs="Arial"/>
          <w:b/>
          <w:iCs/>
          <w:noProof/>
          <w:color w:val="1F497D" w:themeColor="text2"/>
          <w:sz w:val="22"/>
          <w:szCs w:val="22"/>
        </w:rPr>
        <w:t>A’ ECONOMICA</w:t>
      </w:r>
      <w:r w:rsidR="00F95137" w:rsidRPr="00F95137">
        <w:rPr>
          <w:rFonts w:ascii="Arial Narrow" w:hAnsi="Arial Narrow" w:cs="Arial"/>
          <w:b/>
          <w:iCs/>
          <w:noProof/>
          <w:color w:val="1F497D" w:themeColor="text2"/>
          <w:sz w:val="22"/>
          <w:szCs w:val="22"/>
          <w:vertAlign w:val="superscript"/>
        </w:rPr>
        <w:t>*</w:t>
      </w:r>
      <w:r w:rsidR="00F95137" w:rsidRPr="00F95137">
        <w:rPr>
          <w:rFonts w:ascii="Arial Narrow" w:hAnsi="Arial Narrow" w:cs="Arial"/>
          <w:b/>
          <w:iCs/>
          <w:noProof/>
          <w:color w:val="1F497D" w:themeColor="text2"/>
          <w:sz w:val="22"/>
          <w:szCs w:val="22"/>
        </w:rPr>
        <w:t xml:space="preserve"> E POSIZIONE PROFESSIONALE</w:t>
      </w:r>
      <w:r w:rsidR="00860407">
        <w:rPr>
          <w:rFonts w:ascii="Arial Narrow" w:hAnsi="Arial Narrow" w:cs="Arial"/>
          <w:iCs/>
          <w:noProof/>
          <w:color w:val="1F497D" w:themeColor="text2"/>
          <w:sz w:val="22"/>
          <w:szCs w:val="22"/>
        </w:rPr>
        <w:t xml:space="preserve">. </w:t>
      </w:r>
      <w:r w:rsidR="0004769F" w:rsidRPr="00F95137">
        <w:rPr>
          <w:rFonts w:ascii="Arial Narrow" w:hAnsi="Arial Narrow" w:cs="Arial"/>
          <w:iCs/>
          <w:noProof/>
          <w:color w:val="1F497D" w:themeColor="text2"/>
          <w:sz w:val="22"/>
          <w:szCs w:val="22"/>
        </w:rPr>
        <w:t>Ann</w:t>
      </w:r>
      <w:r w:rsidRPr="00F95137">
        <w:rPr>
          <w:rFonts w:ascii="Arial Narrow" w:hAnsi="Arial Narrow" w:cs="Arial"/>
          <w:iCs/>
          <w:noProof/>
          <w:color w:val="1F497D" w:themeColor="text2"/>
          <w:sz w:val="22"/>
          <w:szCs w:val="22"/>
        </w:rPr>
        <w:t>o2017</w:t>
      </w:r>
      <w:r w:rsidR="0004769F" w:rsidRPr="00F95137">
        <w:rPr>
          <w:rFonts w:ascii="Arial Narrow" w:hAnsi="Arial Narrow" w:cs="Arial"/>
          <w:iCs/>
          <w:noProof/>
          <w:color w:val="1F497D" w:themeColor="text2"/>
          <w:sz w:val="22"/>
          <w:szCs w:val="22"/>
        </w:rPr>
        <w:t xml:space="preserve">, </w:t>
      </w:r>
      <w:r w:rsidRPr="00F95137">
        <w:rPr>
          <w:rFonts w:ascii="Arial Narrow" w:hAnsi="Arial Narrow" w:cs="Arial"/>
          <w:iCs/>
          <w:noProof/>
          <w:color w:val="1F497D" w:themeColor="text2"/>
          <w:sz w:val="22"/>
          <w:szCs w:val="22"/>
        </w:rPr>
        <w:t>valori percentuali</w:t>
      </w:r>
    </w:p>
    <w:p w:rsidR="00EE66A6" w:rsidRPr="00EE66A6" w:rsidRDefault="00EE66A6" w:rsidP="00EE66A6">
      <w:pPr>
        <w:pStyle w:val="Paragrafoelenco"/>
        <w:autoSpaceDE w:val="0"/>
        <w:autoSpaceDN w:val="0"/>
        <w:adjustRightInd w:val="0"/>
        <w:ind w:left="0"/>
        <w:contextualSpacing w:val="0"/>
        <w:rPr>
          <w:rFonts w:ascii="Arial Narrow" w:hAnsi="Arial Narrow" w:cs="Arial"/>
          <w:iCs/>
          <w:noProof/>
          <w:color w:val="1F497D" w:themeColor="text2"/>
          <w:sz w:val="28"/>
          <w:szCs w:val="22"/>
        </w:rPr>
      </w:pPr>
    </w:p>
    <w:p w:rsidR="007518D6" w:rsidRDefault="00934608" w:rsidP="00EE66A6">
      <w:pPr>
        <w:pStyle w:val="Paragrafoelenco"/>
        <w:autoSpaceDE w:val="0"/>
        <w:autoSpaceDN w:val="0"/>
        <w:adjustRightInd w:val="0"/>
        <w:ind w:left="0"/>
        <w:contextualSpacing w:val="0"/>
        <w:rPr>
          <w:rFonts w:ascii="Arial Narrow" w:hAnsi="Arial Narrow" w:cs="Arial"/>
          <w:iCs/>
          <w:noProof/>
          <w:color w:val="1F497D" w:themeColor="text2"/>
          <w:sz w:val="22"/>
          <w:szCs w:val="22"/>
        </w:rPr>
      </w:pPr>
      <w:r>
        <w:rPr>
          <w:rFonts w:ascii="Arial" w:hAnsi="Arial" w:cs="Arial"/>
          <w:noProof/>
          <w:sz w:val="22"/>
          <w:szCs w:val="22"/>
        </w:rPr>
        <mc:AlternateContent>
          <mc:Choice Requires="wps">
            <w:drawing>
              <wp:anchor distT="0" distB="0" distL="114300" distR="114300" simplePos="0" relativeHeight="251691008" behindDoc="0" locked="0" layoutInCell="1" allowOverlap="1">
                <wp:simplePos x="0" y="0"/>
                <wp:positionH relativeFrom="column">
                  <wp:posOffset>2075180</wp:posOffset>
                </wp:positionH>
                <wp:positionV relativeFrom="paragraph">
                  <wp:posOffset>2120900</wp:posOffset>
                </wp:positionV>
                <wp:extent cx="257175" cy="208280"/>
                <wp:effectExtent l="0" t="0" r="0" b="0"/>
                <wp:wrapNone/>
                <wp:docPr id="20" name="Casella di tes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175" cy="208280"/>
                        </a:xfrm>
                        <a:prstGeom prst="rect">
                          <a:avLst/>
                        </a:prstGeom>
                        <a:solidFill>
                          <a:srgbClr val="FFFFFF">
                            <a:alpha val="0"/>
                          </a:srgbClr>
                        </a:solidFill>
                        <a:ln w="6350">
                          <a:noFill/>
                        </a:ln>
                      </wps:spPr>
                      <wps:txbx>
                        <w:txbxContent>
                          <w:p w:rsidR="00DC4941" w:rsidRPr="00DC4941" w:rsidRDefault="00DC4941" w:rsidP="00DC4941">
                            <w:pPr>
                              <w:rPr>
                                <w:rFonts w:ascii="Arial Narrow" w:hAnsi="Arial Narrow"/>
                                <w:sz w:val="16"/>
                                <w:szCs w:val="16"/>
                              </w:rPr>
                            </w:pPr>
                            <w:r w:rsidRPr="00DC4941">
                              <w:rPr>
                                <w:rFonts w:ascii="Arial Narrow" w:hAnsi="Arial Narrow"/>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Casella di testo 20" o:spid="_x0000_s1029" type="#_x0000_t202" style="position:absolute;margin-left:163.4pt;margin-top:167pt;width:20.25pt;height:16.4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" stroked="f" strokeweight=".5pt">
                <v:fill opacity="0"/>
                <v:path arrowok="t"/>
                <v:textbox style="mso-fit-shape-to-text:t">
                  <w:txbxContent>
                    <w:p w:rsidR="00DC4941" w:rsidRPr="00DC4941" w:rsidRDefault="00DC4941" w:rsidP="00DC4941">
                      <w:pPr>
                        <w:rPr>
                          <w:rFonts w:ascii="Arial Narrow" w:hAnsi="Arial Narrow"/>
                          <w:sz w:val="16"/>
                          <w:szCs w:val="16"/>
                        </w:rPr>
                      </w:pPr>
                      <w:r w:rsidRPr="00DC4941">
                        <w:rPr>
                          <w:rFonts w:ascii="Arial Narrow" w:hAnsi="Arial Narrow"/>
                          <w:sz w:val="16"/>
                          <w:szCs w:val="16"/>
                        </w:rPr>
                        <w:t>%</w:t>
                      </w:r>
                    </w:p>
                  </w:txbxContent>
                </v:textbox>
              </v:shape>
            </w:pict>
          </mc:Fallback>
        </mc:AlternateContent>
      </w:r>
      <w:r w:rsidR="00860407">
        <w:rPr>
          <w:noProof/>
        </w:rPr>
        <w:drawing>
          <wp:inline distT="0" distB="0" distL="0" distR="0" wp14:anchorId="4122E849" wp14:editId="73361714">
            <wp:extent cx="6298186" cy="2304454"/>
            <wp:effectExtent l="0" t="0" r="0" b="635"/>
            <wp:docPr id="1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473AA" w:rsidRDefault="00F473AA" w:rsidP="001C0C88">
      <w:pPr>
        <w:autoSpaceDE w:val="0"/>
        <w:autoSpaceDN w:val="0"/>
        <w:adjustRightInd w:val="0"/>
        <w:rPr>
          <w:rFonts w:ascii="Arial Narrow" w:hAnsi="Arial Narrow"/>
          <w:sz w:val="15"/>
          <w:szCs w:val="15"/>
        </w:rPr>
      </w:pPr>
    </w:p>
    <w:p w:rsidR="001C0C88" w:rsidRDefault="001C0C88" w:rsidP="001C0C88">
      <w:pPr>
        <w:autoSpaceDE w:val="0"/>
        <w:autoSpaceDN w:val="0"/>
        <w:adjustRightInd w:val="0"/>
        <w:rPr>
          <w:rFonts w:ascii="Arial Narrow" w:hAnsi="Arial Narrow"/>
          <w:sz w:val="15"/>
          <w:szCs w:val="15"/>
        </w:rPr>
      </w:pPr>
    </w:p>
    <w:p w:rsidR="000505FA" w:rsidRDefault="000505FA" w:rsidP="0004769F">
      <w:pPr>
        <w:autoSpaceDE w:val="0"/>
        <w:autoSpaceDN w:val="0"/>
        <w:adjustRightInd w:val="0"/>
        <w:spacing w:after="200"/>
        <w:jc w:val="both"/>
        <w:rPr>
          <w:rFonts w:ascii="Arial" w:hAnsi="Arial" w:cs="Arial"/>
          <w:b/>
          <w:color w:val="1F497D" w:themeColor="text2"/>
          <w:sz w:val="26"/>
          <w:szCs w:val="26"/>
        </w:rPr>
      </w:pPr>
      <w:r w:rsidRPr="000505FA">
        <w:rPr>
          <w:rFonts w:ascii="Arial" w:hAnsi="Arial" w:cs="Arial"/>
          <w:b/>
          <w:color w:val="1F497D" w:themeColor="text2"/>
          <w:sz w:val="26"/>
          <w:szCs w:val="26"/>
        </w:rPr>
        <w:t>Aument</w:t>
      </w:r>
      <w:r w:rsidR="00CC5F1C">
        <w:rPr>
          <w:rFonts w:ascii="Arial" w:hAnsi="Arial" w:cs="Arial"/>
          <w:b/>
          <w:color w:val="1F497D" w:themeColor="text2"/>
          <w:sz w:val="26"/>
          <w:szCs w:val="26"/>
        </w:rPr>
        <w:t>a l’attività</w:t>
      </w:r>
      <w:r w:rsidRPr="000505FA">
        <w:rPr>
          <w:rFonts w:ascii="Arial" w:hAnsi="Arial" w:cs="Arial"/>
          <w:b/>
          <w:color w:val="1F497D" w:themeColor="text2"/>
          <w:sz w:val="26"/>
          <w:szCs w:val="26"/>
        </w:rPr>
        <w:t xml:space="preserve"> dell’economia illegale nel 2017</w:t>
      </w:r>
    </w:p>
    <w:p w:rsidR="000D214A" w:rsidRPr="000D214A" w:rsidRDefault="000D214A" w:rsidP="000D214A">
      <w:pPr>
        <w:autoSpaceDE w:val="0"/>
        <w:autoSpaceDN w:val="0"/>
        <w:adjustRightInd w:val="0"/>
        <w:spacing w:after="120"/>
        <w:jc w:val="both"/>
        <w:rPr>
          <w:rFonts w:ascii="Arial" w:hAnsi="Arial" w:cs="Arial"/>
          <w:sz w:val="22"/>
          <w:szCs w:val="22"/>
        </w:rPr>
      </w:pPr>
      <w:r w:rsidRPr="000D214A">
        <w:rPr>
          <w:rFonts w:ascii="Arial" w:hAnsi="Arial" w:cs="Arial"/>
          <w:sz w:val="22"/>
          <w:szCs w:val="22"/>
        </w:rPr>
        <w:t xml:space="preserve">Nel 2017, le attività illegali considerate nel sistema dei conti nazionali hanno generato un valore aggiunto pari a 18,9 miliardi di euro, con un incremento di 0,8 miliardi rispetto all’anno precedente. I consumi finali di beni e servizi illegali sono risultati pari a 20,3 miliardi di euro (+0,9 miliardi rispetto al 2016), che corrispondono all’1,9% del valore complessivo della spesa per consumi finali. </w:t>
      </w:r>
    </w:p>
    <w:p w:rsidR="000D214A" w:rsidRPr="000D214A" w:rsidRDefault="000D214A" w:rsidP="000D214A">
      <w:pPr>
        <w:autoSpaceDE w:val="0"/>
        <w:autoSpaceDN w:val="0"/>
        <w:adjustRightInd w:val="0"/>
        <w:spacing w:after="120"/>
        <w:jc w:val="both"/>
        <w:rPr>
          <w:rFonts w:ascii="Arial" w:hAnsi="Arial" w:cs="Arial"/>
          <w:sz w:val="22"/>
          <w:szCs w:val="22"/>
        </w:rPr>
      </w:pPr>
      <w:r w:rsidRPr="000D214A">
        <w:rPr>
          <w:rFonts w:ascii="Arial" w:hAnsi="Arial" w:cs="Arial"/>
          <w:sz w:val="22"/>
          <w:szCs w:val="22"/>
        </w:rPr>
        <w:t>Tra 2014 e il 2017 l’incremento delle attività illegali è stato pari a 2,4 miliardi per il valore aggiunto e 2,7 miliardi per la spesa per consumi finali delle famiglie (con una crescita media annua rispettivamente del 4,7 e 4,9</w:t>
      </w:r>
      <w:r w:rsidR="00F2763F">
        <w:rPr>
          <w:rFonts w:ascii="Arial" w:hAnsi="Arial" w:cs="Arial"/>
          <w:sz w:val="22"/>
          <w:szCs w:val="22"/>
        </w:rPr>
        <w:t>%</w:t>
      </w:r>
      <w:r w:rsidRPr="000D214A">
        <w:rPr>
          <w:rFonts w:ascii="Arial" w:hAnsi="Arial" w:cs="Arial"/>
          <w:sz w:val="22"/>
          <w:szCs w:val="22"/>
        </w:rPr>
        <w:t>).</w:t>
      </w:r>
    </w:p>
    <w:p w:rsidR="000D214A" w:rsidRPr="000D214A" w:rsidRDefault="000D214A" w:rsidP="000D214A">
      <w:pPr>
        <w:autoSpaceDE w:val="0"/>
        <w:autoSpaceDN w:val="0"/>
        <w:adjustRightInd w:val="0"/>
        <w:spacing w:after="120"/>
        <w:jc w:val="both"/>
        <w:rPr>
          <w:rFonts w:ascii="Arial" w:hAnsi="Arial" w:cs="Arial"/>
          <w:sz w:val="22"/>
          <w:szCs w:val="22"/>
        </w:rPr>
      </w:pPr>
      <w:r w:rsidRPr="000D214A">
        <w:rPr>
          <w:rFonts w:ascii="Arial" w:hAnsi="Arial" w:cs="Arial"/>
          <w:sz w:val="22"/>
          <w:szCs w:val="22"/>
        </w:rPr>
        <w:t xml:space="preserve">La crescita delle attività illegali è determinata prevalentemente dal traffico di stupefacenti. Nel 2017 Il valore aggiunto sale a 14,4 miliardi di euro e la spesa per consumi raggiunge i 15,7 miliardi di euro. Nel corso dell’intero periodo l’incremento medio annuo per entrambi gli aggregati è di circa 5,8 punti percentuali. </w:t>
      </w:r>
    </w:p>
    <w:p w:rsidR="000D214A" w:rsidRPr="000D214A" w:rsidRDefault="00396A20" w:rsidP="000D214A">
      <w:pPr>
        <w:autoSpaceDE w:val="0"/>
        <w:autoSpaceDN w:val="0"/>
        <w:adjustRightInd w:val="0"/>
        <w:spacing w:after="120"/>
        <w:jc w:val="both"/>
        <w:rPr>
          <w:rFonts w:ascii="Arial" w:hAnsi="Arial" w:cs="Arial"/>
          <w:sz w:val="22"/>
          <w:szCs w:val="22"/>
        </w:rPr>
      </w:pPr>
      <w:r>
        <w:rPr>
          <w:rFonts w:ascii="Arial" w:hAnsi="Arial" w:cs="Arial"/>
          <w:sz w:val="22"/>
          <w:szCs w:val="22"/>
        </w:rPr>
        <w:t>N</w:t>
      </w:r>
      <w:r w:rsidRPr="000D214A">
        <w:rPr>
          <w:rFonts w:ascii="Arial" w:hAnsi="Arial" w:cs="Arial"/>
          <w:sz w:val="22"/>
          <w:szCs w:val="22"/>
        </w:rPr>
        <w:t xml:space="preserve">el periodo di riferimento </w:t>
      </w:r>
      <w:r>
        <w:rPr>
          <w:rFonts w:ascii="Arial" w:hAnsi="Arial" w:cs="Arial"/>
          <w:sz w:val="22"/>
          <w:szCs w:val="22"/>
        </w:rPr>
        <w:t>è m</w:t>
      </w:r>
      <w:r w:rsidRPr="000D214A">
        <w:rPr>
          <w:rFonts w:ascii="Arial" w:hAnsi="Arial" w:cs="Arial"/>
          <w:sz w:val="22"/>
          <w:szCs w:val="22"/>
        </w:rPr>
        <w:t xml:space="preserve">odesta </w:t>
      </w:r>
      <w:r w:rsidR="000D214A" w:rsidRPr="000D214A">
        <w:rPr>
          <w:rFonts w:ascii="Arial" w:hAnsi="Arial" w:cs="Arial"/>
          <w:sz w:val="22"/>
          <w:szCs w:val="22"/>
        </w:rPr>
        <w:t xml:space="preserve">la crescita dei servizi di prostituzione. Nel 2017 sia il valore aggiunto sia i consumi si attestano a 4,0 miliardi di euro, livelli sostanzialmente invariati </w:t>
      </w:r>
      <w:r>
        <w:rPr>
          <w:rFonts w:ascii="Arial" w:hAnsi="Arial" w:cs="Arial"/>
          <w:sz w:val="22"/>
          <w:szCs w:val="22"/>
        </w:rPr>
        <w:t xml:space="preserve">rispetto al </w:t>
      </w:r>
      <w:r w:rsidR="00F2763F">
        <w:rPr>
          <w:rFonts w:ascii="Arial" w:hAnsi="Arial" w:cs="Arial"/>
          <w:sz w:val="22"/>
          <w:szCs w:val="22"/>
        </w:rPr>
        <w:t>2014</w:t>
      </w:r>
      <w:r w:rsidR="000D214A" w:rsidRPr="000D214A">
        <w:rPr>
          <w:rFonts w:ascii="Arial" w:hAnsi="Arial" w:cs="Arial"/>
          <w:sz w:val="22"/>
          <w:szCs w:val="22"/>
        </w:rPr>
        <w:t xml:space="preserve">. </w:t>
      </w:r>
    </w:p>
    <w:p w:rsidR="000D214A" w:rsidRPr="000D214A" w:rsidRDefault="000D214A" w:rsidP="000D214A">
      <w:pPr>
        <w:autoSpaceDE w:val="0"/>
        <w:autoSpaceDN w:val="0"/>
        <w:adjustRightInd w:val="0"/>
        <w:spacing w:after="120"/>
        <w:jc w:val="both"/>
        <w:rPr>
          <w:rFonts w:ascii="Arial" w:hAnsi="Arial" w:cs="Arial"/>
          <w:sz w:val="22"/>
          <w:szCs w:val="22"/>
        </w:rPr>
      </w:pPr>
      <w:r w:rsidRPr="000D214A">
        <w:rPr>
          <w:rFonts w:ascii="Arial" w:hAnsi="Arial" w:cs="Arial"/>
          <w:sz w:val="22"/>
          <w:szCs w:val="22"/>
        </w:rPr>
        <w:t>L’attività di contrabbando di sigarette nel 2017 rappresenta il 2,5</w:t>
      </w:r>
      <w:r w:rsidR="00AE70A1">
        <w:rPr>
          <w:rFonts w:ascii="Arial" w:hAnsi="Arial" w:cs="Arial"/>
          <w:sz w:val="22"/>
          <w:szCs w:val="22"/>
        </w:rPr>
        <w:t>%</w:t>
      </w:r>
      <w:r w:rsidRPr="000D214A">
        <w:rPr>
          <w:rFonts w:ascii="Arial" w:hAnsi="Arial" w:cs="Arial"/>
          <w:sz w:val="22"/>
          <w:szCs w:val="22"/>
        </w:rPr>
        <w:t xml:space="preserve"> del valore aggiunto complessivo (0,5 miliardi di euro) e il 3,2</w:t>
      </w:r>
      <w:r w:rsidR="00AE70A1">
        <w:rPr>
          <w:rFonts w:ascii="Arial" w:hAnsi="Arial" w:cs="Arial"/>
          <w:sz w:val="22"/>
          <w:szCs w:val="22"/>
        </w:rPr>
        <w:t>%</w:t>
      </w:r>
      <w:r w:rsidRPr="000D214A">
        <w:rPr>
          <w:rFonts w:ascii="Arial" w:hAnsi="Arial" w:cs="Arial"/>
          <w:sz w:val="22"/>
          <w:szCs w:val="22"/>
        </w:rPr>
        <w:t xml:space="preserve"> dei consumi delle famiglie (0,7 miliardi di euro).</w:t>
      </w:r>
    </w:p>
    <w:p w:rsidR="0004769F" w:rsidRDefault="000D214A" w:rsidP="000D214A">
      <w:pPr>
        <w:autoSpaceDE w:val="0"/>
        <w:autoSpaceDN w:val="0"/>
        <w:adjustRightInd w:val="0"/>
        <w:spacing w:after="120"/>
        <w:jc w:val="both"/>
        <w:rPr>
          <w:rFonts w:ascii="Arial" w:hAnsi="Arial" w:cs="Arial"/>
          <w:sz w:val="22"/>
          <w:szCs w:val="22"/>
        </w:rPr>
      </w:pPr>
      <w:r w:rsidRPr="000D214A">
        <w:rPr>
          <w:rFonts w:ascii="Arial" w:hAnsi="Arial" w:cs="Arial"/>
          <w:sz w:val="22"/>
          <w:szCs w:val="22"/>
        </w:rPr>
        <w:t>Le attività illegali possono interagire con quelle legali non dichiarate al fisco. Questo è il caso del traffico di stupefacenti che genera un indotto di servizi (per lo stoccaggio di merci e il trasporto di merci su strada e via acqua) che nel periodo 2014-2017 è cresciuto passando da un valore aggiunto di 1,2 miliardi a 1,3 miliardi.</w:t>
      </w:r>
    </w:p>
    <w:p w:rsidR="00A73DB2" w:rsidRDefault="00A73DB2" w:rsidP="0060521F">
      <w:pPr>
        <w:tabs>
          <w:tab w:val="left" w:pos="900"/>
        </w:tabs>
        <w:rPr>
          <w:rFonts w:ascii="Arial Black" w:hAnsi="Arial Black" w:cs="Arial"/>
          <w:iCs/>
          <w:noProof/>
          <w:color w:val="1F497D" w:themeColor="text2"/>
          <w:sz w:val="22"/>
          <w:szCs w:val="22"/>
        </w:rPr>
      </w:pPr>
    </w:p>
    <w:p w:rsidR="00A73DB2" w:rsidRDefault="00A73DB2" w:rsidP="0060521F">
      <w:pPr>
        <w:tabs>
          <w:tab w:val="left" w:pos="900"/>
        </w:tabs>
        <w:rPr>
          <w:rFonts w:ascii="Arial Black" w:hAnsi="Arial Black" w:cs="Arial"/>
          <w:iCs/>
          <w:noProof/>
          <w:color w:val="1F497D" w:themeColor="text2"/>
          <w:sz w:val="22"/>
          <w:szCs w:val="22"/>
        </w:rPr>
      </w:pPr>
    </w:p>
    <w:p w:rsidR="00A73DB2" w:rsidRDefault="00A73DB2" w:rsidP="0060521F">
      <w:pPr>
        <w:tabs>
          <w:tab w:val="left" w:pos="900"/>
        </w:tabs>
        <w:rPr>
          <w:rFonts w:ascii="Arial Black" w:hAnsi="Arial Black" w:cs="Arial"/>
          <w:iCs/>
          <w:noProof/>
          <w:color w:val="1F497D" w:themeColor="text2"/>
          <w:sz w:val="22"/>
          <w:szCs w:val="22"/>
        </w:rPr>
      </w:pPr>
    </w:p>
    <w:p w:rsidR="0078797B" w:rsidRDefault="0078797B" w:rsidP="0060521F">
      <w:pPr>
        <w:tabs>
          <w:tab w:val="left" w:pos="900"/>
        </w:tabs>
        <w:rPr>
          <w:rFonts w:ascii="Arial Black" w:hAnsi="Arial Black" w:cs="Arial"/>
          <w:iCs/>
          <w:noProof/>
          <w:color w:val="1F497D" w:themeColor="text2"/>
          <w:sz w:val="22"/>
          <w:szCs w:val="22"/>
        </w:rPr>
      </w:pPr>
    </w:p>
    <w:p w:rsidR="0078797B" w:rsidRDefault="0078797B" w:rsidP="0060521F">
      <w:pPr>
        <w:tabs>
          <w:tab w:val="left" w:pos="900"/>
        </w:tabs>
        <w:rPr>
          <w:rFonts w:ascii="Arial Black" w:hAnsi="Arial Black" w:cs="Arial"/>
          <w:iCs/>
          <w:noProof/>
          <w:color w:val="1F497D" w:themeColor="text2"/>
          <w:sz w:val="22"/>
          <w:szCs w:val="22"/>
        </w:rPr>
      </w:pPr>
    </w:p>
    <w:p w:rsidR="0078797B" w:rsidRDefault="0078797B" w:rsidP="0060521F">
      <w:pPr>
        <w:tabs>
          <w:tab w:val="left" w:pos="900"/>
        </w:tabs>
        <w:rPr>
          <w:rFonts w:ascii="Arial Black" w:hAnsi="Arial Black" w:cs="Arial"/>
          <w:iCs/>
          <w:noProof/>
          <w:color w:val="1F497D" w:themeColor="text2"/>
          <w:sz w:val="22"/>
          <w:szCs w:val="22"/>
        </w:rPr>
      </w:pPr>
    </w:p>
    <w:p w:rsidR="0078797B" w:rsidRDefault="0078797B" w:rsidP="0060521F">
      <w:pPr>
        <w:tabs>
          <w:tab w:val="left" w:pos="900"/>
        </w:tabs>
        <w:rPr>
          <w:rFonts w:ascii="Arial Black" w:hAnsi="Arial Black" w:cs="Arial"/>
          <w:iCs/>
          <w:noProof/>
          <w:color w:val="1F497D" w:themeColor="text2"/>
          <w:sz w:val="22"/>
          <w:szCs w:val="22"/>
        </w:rPr>
      </w:pPr>
    </w:p>
    <w:p w:rsidR="0078797B" w:rsidRDefault="0078797B" w:rsidP="0060521F">
      <w:pPr>
        <w:tabs>
          <w:tab w:val="left" w:pos="900"/>
        </w:tabs>
        <w:rPr>
          <w:rFonts w:ascii="Arial Black" w:hAnsi="Arial Black" w:cs="Arial"/>
          <w:iCs/>
          <w:noProof/>
          <w:color w:val="1F497D" w:themeColor="text2"/>
          <w:sz w:val="22"/>
          <w:szCs w:val="22"/>
        </w:rPr>
      </w:pPr>
    </w:p>
    <w:p w:rsidR="0078797B" w:rsidRDefault="0078797B" w:rsidP="0060521F">
      <w:pPr>
        <w:tabs>
          <w:tab w:val="left" w:pos="900"/>
        </w:tabs>
        <w:rPr>
          <w:rFonts w:ascii="Arial Black" w:hAnsi="Arial Black" w:cs="Arial"/>
          <w:iCs/>
          <w:noProof/>
          <w:color w:val="1F497D" w:themeColor="text2"/>
          <w:sz w:val="22"/>
          <w:szCs w:val="22"/>
        </w:rPr>
      </w:pPr>
    </w:p>
    <w:p w:rsidR="0078797B" w:rsidRDefault="0078797B" w:rsidP="0060521F">
      <w:pPr>
        <w:tabs>
          <w:tab w:val="left" w:pos="900"/>
        </w:tabs>
        <w:rPr>
          <w:rFonts w:ascii="Arial Black" w:hAnsi="Arial Black" w:cs="Arial"/>
          <w:iCs/>
          <w:noProof/>
          <w:color w:val="1F497D" w:themeColor="text2"/>
          <w:sz w:val="22"/>
          <w:szCs w:val="22"/>
        </w:rPr>
      </w:pPr>
    </w:p>
    <w:p w:rsidR="0078797B" w:rsidRDefault="0078797B" w:rsidP="0060521F">
      <w:pPr>
        <w:tabs>
          <w:tab w:val="left" w:pos="900"/>
        </w:tabs>
        <w:rPr>
          <w:rFonts w:ascii="Arial Black" w:hAnsi="Arial Black" w:cs="Arial"/>
          <w:iCs/>
          <w:noProof/>
          <w:color w:val="1F497D" w:themeColor="text2"/>
          <w:sz w:val="22"/>
          <w:szCs w:val="22"/>
        </w:rPr>
      </w:pPr>
    </w:p>
    <w:p w:rsidR="000505FA" w:rsidRDefault="000505FA" w:rsidP="0060521F">
      <w:pPr>
        <w:tabs>
          <w:tab w:val="left" w:pos="900"/>
        </w:tabs>
        <w:rPr>
          <w:rFonts w:ascii="Arial Black" w:hAnsi="Arial Black" w:cs="Arial"/>
          <w:iCs/>
          <w:noProof/>
          <w:color w:val="1F497D" w:themeColor="text2"/>
          <w:sz w:val="22"/>
          <w:szCs w:val="22"/>
        </w:rPr>
      </w:pPr>
    </w:p>
    <w:p w:rsidR="009C6676" w:rsidRDefault="009C6676" w:rsidP="0060521F">
      <w:pPr>
        <w:tabs>
          <w:tab w:val="left" w:pos="900"/>
        </w:tabs>
        <w:rPr>
          <w:rFonts w:ascii="Arial Black" w:hAnsi="Arial Black" w:cs="Arial"/>
          <w:iCs/>
          <w:noProof/>
          <w:color w:val="1F497D" w:themeColor="text2"/>
          <w:sz w:val="22"/>
          <w:szCs w:val="22"/>
        </w:rPr>
      </w:pPr>
    </w:p>
    <w:p w:rsidR="009C6676" w:rsidRPr="00853E42" w:rsidRDefault="009C6676" w:rsidP="0060521F">
      <w:pPr>
        <w:tabs>
          <w:tab w:val="left" w:pos="900"/>
        </w:tabs>
        <w:rPr>
          <w:rFonts w:ascii="Arial Black" w:hAnsi="Arial Black" w:cs="Arial"/>
          <w:iCs/>
          <w:noProof/>
          <w:color w:val="1F497D" w:themeColor="text2"/>
          <w:sz w:val="4"/>
          <w:szCs w:val="22"/>
        </w:rPr>
      </w:pPr>
    </w:p>
    <w:p w:rsidR="000505FA" w:rsidRDefault="005B28F8" w:rsidP="000505FA">
      <w:pPr>
        <w:tabs>
          <w:tab w:val="left" w:pos="900"/>
        </w:tabs>
        <w:rPr>
          <w:rFonts w:ascii="Arial Narrow" w:hAnsi="Arial Narrow" w:cs="Arial"/>
          <w:b/>
          <w:iCs/>
          <w:noProof/>
          <w:color w:val="1F497D" w:themeColor="text2"/>
          <w:sz w:val="22"/>
          <w:szCs w:val="22"/>
        </w:rPr>
      </w:pPr>
      <w:r w:rsidRPr="00E80B57">
        <w:rPr>
          <w:rFonts w:ascii="Arial Black" w:hAnsi="Arial Black" w:cs="Arial"/>
          <w:iCs/>
          <w:noProof/>
          <w:color w:val="1F497D" w:themeColor="text2"/>
          <w:sz w:val="22"/>
          <w:szCs w:val="22"/>
        </w:rPr>
        <w:t xml:space="preserve">FIGURA </w:t>
      </w:r>
      <w:r w:rsidR="000350B8">
        <w:rPr>
          <w:rFonts w:ascii="Arial Black" w:hAnsi="Arial Black" w:cs="Arial"/>
          <w:iCs/>
          <w:noProof/>
          <w:color w:val="1F497D" w:themeColor="text2"/>
          <w:sz w:val="22"/>
          <w:szCs w:val="22"/>
        </w:rPr>
        <w:t>6</w:t>
      </w:r>
      <w:r>
        <w:rPr>
          <w:rFonts w:ascii="Arial Narrow" w:hAnsi="Arial Narrow" w:cs="Arial"/>
          <w:b/>
          <w:iCs/>
          <w:noProof/>
          <w:color w:val="1F497D" w:themeColor="text2"/>
          <w:sz w:val="22"/>
          <w:szCs w:val="22"/>
        </w:rPr>
        <w:t>.</w:t>
      </w:r>
      <w:r w:rsidR="00046672">
        <w:rPr>
          <w:rFonts w:ascii="Arial Narrow" w:hAnsi="Arial Narrow" w:cs="Arial"/>
          <w:b/>
          <w:iCs/>
          <w:noProof/>
          <w:color w:val="1F497D" w:themeColor="text2"/>
          <w:sz w:val="22"/>
          <w:szCs w:val="22"/>
        </w:rPr>
        <w:t xml:space="preserve"> </w:t>
      </w:r>
      <w:r w:rsidR="000505FA" w:rsidRPr="000505FA">
        <w:rPr>
          <w:rFonts w:ascii="Arial Narrow" w:hAnsi="Arial Narrow" w:cs="Arial"/>
          <w:b/>
          <w:iCs/>
          <w:noProof/>
          <w:color w:val="1F497D" w:themeColor="text2"/>
          <w:sz w:val="22"/>
          <w:szCs w:val="22"/>
        </w:rPr>
        <w:t xml:space="preserve">PRINCIPALI AGGREGATI ECONOMICI PER TIPOLOGIA DI ATTIVITA' </w:t>
      </w:r>
      <w:r w:rsidR="00EF1CB8">
        <w:rPr>
          <w:rFonts w:ascii="Arial Narrow" w:hAnsi="Arial Narrow" w:cs="Arial"/>
          <w:b/>
          <w:iCs/>
          <w:noProof/>
          <w:color w:val="1F497D" w:themeColor="text2"/>
          <w:sz w:val="22"/>
          <w:szCs w:val="22"/>
        </w:rPr>
        <w:t>ILLEGALE</w:t>
      </w:r>
    </w:p>
    <w:p w:rsidR="00577E3D" w:rsidRDefault="000505FA" w:rsidP="00FA1DB6">
      <w:pPr>
        <w:pStyle w:val="Paragrafoelenco"/>
        <w:autoSpaceDE w:val="0"/>
        <w:autoSpaceDN w:val="0"/>
        <w:adjustRightInd w:val="0"/>
        <w:ind w:left="0"/>
        <w:contextualSpacing w:val="0"/>
        <w:rPr>
          <w:rFonts w:ascii="Arial Narrow" w:hAnsi="Arial Narrow" w:cs="Arial"/>
          <w:iCs/>
          <w:noProof/>
          <w:color w:val="1F497D" w:themeColor="text2"/>
          <w:sz w:val="22"/>
          <w:szCs w:val="22"/>
        </w:rPr>
      </w:pPr>
      <w:r w:rsidRPr="000505FA">
        <w:rPr>
          <w:rFonts w:ascii="Arial Narrow" w:hAnsi="Arial Narrow" w:cs="Arial"/>
          <w:iCs/>
          <w:noProof/>
          <w:color w:val="1F497D" w:themeColor="text2"/>
          <w:sz w:val="22"/>
          <w:szCs w:val="22"/>
        </w:rPr>
        <w:t>Anni 2014-2017, miliardi di euro</w:t>
      </w:r>
    </w:p>
    <w:p w:rsidR="007518D6" w:rsidRDefault="00577E3D" w:rsidP="00FA1DB6">
      <w:pPr>
        <w:pStyle w:val="Paragrafoelenco"/>
        <w:autoSpaceDE w:val="0"/>
        <w:autoSpaceDN w:val="0"/>
        <w:adjustRightInd w:val="0"/>
        <w:ind w:left="0"/>
        <w:contextualSpacing w:val="0"/>
        <w:rPr>
          <w:rFonts w:ascii="Arial Narrow" w:hAnsi="Arial Narrow" w:cs="Arial"/>
          <w:iCs/>
          <w:noProof/>
          <w:color w:val="1F497D" w:themeColor="text2"/>
          <w:sz w:val="22"/>
          <w:szCs w:val="22"/>
        </w:rPr>
      </w:pPr>
      <w:r w:rsidRPr="00C16DD9">
        <w:rPr>
          <w:noProof/>
          <w:color w:val="17365D" w:themeColor="text2" w:themeShade="BF"/>
        </w:rPr>
        <w:drawing>
          <wp:inline distT="0" distB="0" distL="0" distR="0" wp14:anchorId="6AA767B1" wp14:editId="3341E391">
            <wp:extent cx="6299200" cy="2381250"/>
            <wp:effectExtent l="0" t="0" r="0" b="0"/>
            <wp:docPr id="22" name="Gra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73DB2" w:rsidRPr="00A73DB2" w:rsidRDefault="00A73DB2" w:rsidP="00AB0A10">
      <w:pPr>
        <w:spacing w:after="120"/>
        <w:jc w:val="both"/>
        <w:rPr>
          <w:rFonts w:ascii="Arial Narrow" w:hAnsi="Arial Narrow"/>
          <w:sz w:val="3"/>
          <w:szCs w:val="15"/>
        </w:rPr>
      </w:pPr>
    </w:p>
    <w:p w:rsidR="00813E0B" w:rsidRPr="0060521F" w:rsidRDefault="00813E0B" w:rsidP="0060521F">
      <w:pPr>
        <w:tabs>
          <w:tab w:val="left" w:pos="900"/>
        </w:tabs>
        <w:rPr>
          <w:rFonts w:ascii="Georgia" w:hAnsi="Georgia" w:cs="Arial"/>
          <w:sz w:val="22"/>
          <w:szCs w:val="48"/>
        </w:rPr>
        <w:sectPr w:rsidR="00813E0B" w:rsidRPr="0060521F" w:rsidSect="001B745D">
          <w:headerReference w:type="default" r:id="rId20"/>
          <w:footerReference w:type="default" r:id="rId21"/>
          <w:pgSz w:w="11906" w:h="16838" w:code="9"/>
          <w:pgMar w:top="567" w:right="992" w:bottom="714" w:left="992" w:header="0" w:footer="0" w:gutter="0"/>
          <w:cols w:space="430"/>
          <w:docGrid w:linePitch="360"/>
        </w:sectPr>
      </w:pPr>
    </w:p>
    <w:p w:rsidR="00F8057E" w:rsidRPr="003B4168" w:rsidRDefault="00F8057E" w:rsidP="00F8057E">
      <w:pPr>
        <w:autoSpaceDE w:val="0"/>
        <w:autoSpaceDN w:val="0"/>
        <w:adjustRightInd w:val="0"/>
        <w:spacing w:before="120" w:after="240"/>
        <w:jc w:val="both"/>
        <w:outlineLvl w:val="0"/>
        <w:rPr>
          <w:rFonts w:ascii="Georgia" w:hAnsi="Georgia" w:cs="Arial"/>
          <w:color w:val="1F497D" w:themeColor="text2"/>
          <w:sz w:val="48"/>
          <w:szCs w:val="48"/>
        </w:rPr>
      </w:pPr>
      <w:r w:rsidRPr="003B4168">
        <w:rPr>
          <w:rFonts w:ascii="Georgia" w:hAnsi="Georgia" w:cs="Arial"/>
          <w:color w:val="1F497D" w:themeColor="text2"/>
          <w:sz w:val="48"/>
          <w:szCs w:val="48"/>
        </w:rPr>
        <w:lastRenderedPageBreak/>
        <w:t>Glossario</w:t>
      </w:r>
    </w:p>
    <w:p w:rsidR="00A4431F" w:rsidRPr="00A4431F" w:rsidRDefault="00A4431F" w:rsidP="00A4431F">
      <w:pPr>
        <w:autoSpaceDE w:val="0"/>
        <w:autoSpaceDN w:val="0"/>
        <w:adjustRightInd w:val="0"/>
        <w:spacing w:after="120"/>
        <w:jc w:val="both"/>
        <w:rPr>
          <w:rFonts w:ascii="Arial" w:hAnsi="Arial" w:cs="Arial"/>
          <w:bCs/>
          <w:color w:val="000000"/>
          <w:sz w:val="20"/>
          <w:szCs w:val="20"/>
        </w:rPr>
      </w:pPr>
      <w:r w:rsidRPr="00A4431F">
        <w:rPr>
          <w:rFonts w:ascii="Arial" w:hAnsi="Arial" w:cs="Arial"/>
          <w:b/>
          <w:bCs/>
          <w:color w:val="1F497D" w:themeColor="text2"/>
          <w:sz w:val="20"/>
          <w:szCs w:val="20"/>
        </w:rPr>
        <w:t>Attività economica:</w:t>
      </w:r>
      <w:r w:rsidRPr="00A4431F">
        <w:rPr>
          <w:rFonts w:ascii="Arial" w:hAnsi="Arial" w:cs="Arial"/>
          <w:bCs/>
          <w:color w:val="000000"/>
          <w:sz w:val="20"/>
          <w:szCs w:val="20"/>
        </w:rPr>
        <w:t xml:space="preserve"> attività di produzione di beni o servizi che ha luogo quando risorse quali lavoro, impianti e materie prime concorrono all’ottenimento di beni o alla prestazione di servizi. Un’attività economica è caratterizzata dall’uso di fattori della produzione, da un processo di produzione e da uno o più prodotti ottenuti (merci o prestazioni di servizi). Ai fini della produzione dell’informazione statistica, le attività economiche sono classificate secondo una nomenclatura internazionale che</w:t>
      </w:r>
      <w:r w:rsidR="00046672">
        <w:rPr>
          <w:rFonts w:ascii="Arial" w:hAnsi="Arial" w:cs="Arial"/>
          <w:bCs/>
          <w:color w:val="000000"/>
          <w:sz w:val="20"/>
          <w:szCs w:val="20"/>
        </w:rPr>
        <w:t xml:space="preserve"> a livello europeo è denominata </w:t>
      </w:r>
      <w:r w:rsidRPr="00A4431F">
        <w:rPr>
          <w:rFonts w:ascii="Arial" w:hAnsi="Arial" w:cs="Arial"/>
          <w:bCs/>
          <w:color w:val="000000"/>
          <w:sz w:val="20"/>
          <w:szCs w:val="20"/>
        </w:rPr>
        <w:t>Nace Rev. 2 (per la classificazione Ateco 2007).</w:t>
      </w:r>
    </w:p>
    <w:p w:rsidR="00A4431F" w:rsidRPr="00A4431F" w:rsidRDefault="00A4431F" w:rsidP="00A4431F">
      <w:pPr>
        <w:autoSpaceDE w:val="0"/>
        <w:autoSpaceDN w:val="0"/>
        <w:adjustRightInd w:val="0"/>
        <w:spacing w:after="120"/>
        <w:jc w:val="both"/>
        <w:rPr>
          <w:rFonts w:ascii="Arial" w:hAnsi="Arial" w:cs="Arial"/>
          <w:bCs/>
          <w:color w:val="000000"/>
          <w:sz w:val="20"/>
          <w:szCs w:val="20"/>
        </w:rPr>
      </w:pPr>
      <w:r w:rsidRPr="00A4431F">
        <w:rPr>
          <w:rFonts w:ascii="Arial" w:hAnsi="Arial" w:cs="Arial"/>
          <w:b/>
          <w:bCs/>
          <w:color w:val="1F497D" w:themeColor="text2"/>
          <w:sz w:val="20"/>
          <w:szCs w:val="20"/>
        </w:rPr>
        <w:t>Attività illegali</w:t>
      </w:r>
      <w:r w:rsidRPr="00A4431F">
        <w:rPr>
          <w:rFonts w:ascii="Arial" w:hAnsi="Arial" w:cs="Arial"/>
          <w:bCs/>
          <w:color w:val="000000"/>
          <w:sz w:val="20"/>
          <w:szCs w:val="20"/>
        </w:rPr>
        <w:t>: rappresentano le attività produttive aventi per oggetto beni e servizi illegali, o che, pur riguardando beni e servizi legali, sono svolte senza adeguata autorizzazione o titolo. Si distinguono tre tipologie di attività: produzione e traffico di stupefacenti, servizi di prostituzione e contrabbando di tabacco.</w:t>
      </w:r>
    </w:p>
    <w:p w:rsidR="00A4431F" w:rsidRPr="00A4431F" w:rsidRDefault="00A4431F" w:rsidP="00A4431F">
      <w:pPr>
        <w:autoSpaceDE w:val="0"/>
        <w:autoSpaceDN w:val="0"/>
        <w:adjustRightInd w:val="0"/>
        <w:spacing w:after="120"/>
        <w:jc w:val="both"/>
        <w:rPr>
          <w:rFonts w:ascii="Arial" w:hAnsi="Arial" w:cs="Arial"/>
          <w:bCs/>
          <w:color w:val="000000"/>
          <w:sz w:val="20"/>
          <w:szCs w:val="20"/>
        </w:rPr>
      </w:pPr>
      <w:r w:rsidRPr="00A4431F">
        <w:rPr>
          <w:rFonts w:ascii="Arial" w:hAnsi="Arial" w:cs="Arial"/>
          <w:b/>
          <w:bCs/>
          <w:color w:val="1F497D" w:themeColor="text2"/>
          <w:sz w:val="20"/>
          <w:szCs w:val="20"/>
        </w:rPr>
        <w:t>Economia Non Osservata (NOE):</w:t>
      </w:r>
      <w:r w:rsidRPr="00A4431F">
        <w:rPr>
          <w:rFonts w:ascii="Arial" w:hAnsi="Arial" w:cs="Arial"/>
          <w:bCs/>
          <w:color w:val="000000"/>
          <w:sz w:val="20"/>
          <w:szCs w:val="20"/>
        </w:rPr>
        <w:t xml:space="preserve"> include quelle attività economiche che, per motivi differenti, sfuggono all’osservazione statistica diretta. Le principali componenti della Noe sono rappresentate dal sommerso economico e dall’economia illegale; il sommerso statistico e l’economia informale ne completano lo spettro.</w:t>
      </w:r>
    </w:p>
    <w:p w:rsidR="00A4431F" w:rsidRPr="00A4431F" w:rsidRDefault="00A4431F" w:rsidP="00A4431F">
      <w:pPr>
        <w:autoSpaceDE w:val="0"/>
        <w:autoSpaceDN w:val="0"/>
        <w:adjustRightInd w:val="0"/>
        <w:spacing w:after="120"/>
        <w:jc w:val="both"/>
        <w:rPr>
          <w:rFonts w:ascii="Arial" w:hAnsi="Arial" w:cs="Arial"/>
          <w:bCs/>
          <w:color w:val="000000"/>
          <w:sz w:val="20"/>
          <w:szCs w:val="20"/>
        </w:rPr>
      </w:pPr>
      <w:r w:rsidRPr="00A4431F">
        <w:rPr>
          <w:rFonts w:ascii="Arial" w:hAnsi="Arial" w:cs="Arial"/>
          <w:b/>
          <w:bCs/>
          <w:color w:val="1F497D" w:themeColor="text2"/>
          <w:sz w:val="20"/>
          <w:szCs w:val="20"/>
        </w:rPr>
        <w:t>Economia sommersa:</w:t>
      </w:r>
      <w:r w:rsidRPr="00A4431F">
        <w:rPr>
          <w:rFonts w:ascii="Arial" w:hAnsi="Arial" w:cs="Arial"/>
          <w:bCs/>
          <w:color w:val="000000"/>
          <w:sz w:val="20"/>
          <w:szCs w:val="20"/>
        </w:rPr>
        <w:t xml:space="preserve"> include tutte quelle attività che sono volontariamente celate alle autorità fiscali, previdenziali e statistiche. Esso è generato da dichiarazioni mendaci riguardanti sia fatturato e costi delle unità produttive (in modo da generare una sotto-dichiarazione del valore aggiunto), sia l’effettivo utilizzo di input di lavoro (ovvero l’impiego di lavoro irregolare). Ulteriori integrazioni derivano: dalla valutazione delle mance che i lavoratori dipendenti ricevono dai clienti in alcune attività economiche; dai risultati della procedura di riconciliazione delle stime indipendenti dell’offerta e della domanda di beni e servizi; dalla valutazione degli affitti in nero.</w:t>
      </w:r>
    </w:p>
    <w:p w:rsidR="00A4431F" w:rsidRPr="00A4431F" w:rsidRDefault="00A4431F" w:rsidP="00A4431F">
      <w:pPr>
        <w:autoSpaceDE w:val="0"/>
        <w:autoSpaceDN w:val="0"/>
        <w:adjustRightInd w:val="0"/>
        <w:spacing w:after="120"/>
        <w:jc w:val="both"/>
        <w:rPr>
          <w:rFonts w:ascii="Arial" w:hAnsi="Arial" w:cs="Arial"/>
          <w:bCs/>
          <w:color w:val="000000"/>
          <w:sz w:val="20"/>
          <w:szCs w:val="20"/>
        </w:rPr>
      </w:pPr>
      <w:r w:rsidRPr="00A4431F">
        <w:rPr>
          <w:rFonts w:ascii="Arial" w:hAnsi="Arial" w:cs="Arial"/>
          <w:b/>
          <w:bCs/>
          <w:color w:val="1F497D" w:themeColor="text2"/>
          <w:sz w:val="20"/>
          <w:szCs w:val="20"/>
        </w:rPr>
        <w:t>Prodotto interno lordo ai prezzi di mercato (Pil):</w:t>
      </w:r>
      <w:r w:rsidRPr="00A4431F">
        <w:rPr>
          <w:rFonts w:ascii="Arial" w:hAnsi="Arial" w:cs="Arial"/>
          <w:bCs/>
          <w:color w:val="000000"/>
          <w:sz w:val="20"/>
          <w:szCs w:val="20"/>
        </w:rPr>
        <w:t xml:space="preserve"> il risultato finale dell’attività di produzione delle unità produttrici residenti. Corrisponde alla produzione totale di beni e servizi dell’economia, diminuita dei consumi intermedi e aumentata dell’Iva gravante e delle imposte indirette sulle importazioni. È altresì pari alla somma del valore aggiunto a prezzi base delle varie branche di attività economica, aumentata delle imposte sui prodotti (compresa l’Iva e le imposte sulle importazioni), al netto dei contributi ai prodotti.</w:t>
      </w:r>
    </w:p>
    <w:p w:rsidR="00A4431F" w:rsidRPr="00A4431F" w:rsidRDefault="00A4431F" w:rsidP="00A4431F">
      <w:pPr>
        <w:autoSpaceDE w:val="0"/>
        <w:autoSpaceDN w:val="0"/>
        <w:adjustRightInd w:val="0"/>
        <w:spacing w:after="120"/>
        <w:jc w:val="both"/>
        <w:rPr>
          <w:rFonts w:ascii="Arial" w:hAnsi="Arial" w:cs="Arial"/>
          <w:bCs/>
          <w:color w:val="000000"/>
          <w:sz w:val="20"/>
          <w:szCs w:val="20"/>
        </w:rPr>
      </w:pPr>
      <w:r w:rsidRPr="00A4431F">
        <w:rPr>
          <w:rFonts w:ascii="Arial" w:hAnsi="Arial" w:cs="Arial"/>
          <w:b/>
          <w:bCs/>
          <w:color w:val="1F497D" w:themeColor="text2"/>
          <w:sz w:val="20"/>
          <w:szCs w:val="20"/>
        </w:rPr>
        <w:t>Spesa per consumi finali delle famiglie:</w:t>
      </w:r>
      <w:r w:rsidRPr="00A4431F">
        <w:rPr>
          <w:rFonts w:ascii="Arial" w:hAnsi="Arial" w:cs="Arial"/>
          <w:bCs/>
          <w:color w:val="000000"/>
          <w:sz w:val="20"/>
          <w:szCs w:val="20"/>
        </w:rPr>
        <w:t xml:space="preserve"> valore della spesa delle famiglie per l’insieme di beni e servizi acquisiti per il soddisfacimento dei propri bisogni individuali. Nel caso del settore Famiglie nel suo complesso include la spesa per consumi delle istituzioni senza scopo di lucro al servizio delle famiglie.</w:t>
      </w:r>
    </w:p>
    <w:p w:rsidR="00A4431F" w:rsidRPr="00A4431F" w:rsidRDefault="00A4431F" w:rsidP="00A4431F">
      <w:pPr>
        <w:autoSpaceDE w:val="0"/>
        <w:autoSpaceDN w:val="0"/>
        <w:adjustRightInd w:val="0"/>
        <w:spacing w:after="120"/>
        <w:jc w:val="both"/>
        <w:rPr>
          <w:rFonts w:ascii="Arial" w:hAnsi="Arial" w:cs="Arial"/>
          <w:bCs/>
          <w:color w:val="000000"/>
          <w:sz w:val="20"/>
          <w:szCs w:val="20"/>
        </w:rPr>
      </w:pPr>
      <w:r w:rsidRPr="00A4431F">
        <w:rPr>
          <w:rFonts w:ascii="Arial" w:hAnsi="Arial" w:cs="Arial"/>
          <w:b/>
          <w:bCs/>
          <w:color w:val="1F497D" w:themeColor="text2"/>
          <w:sz w:val="20"/>
          <w:szCs w:val="20"/>
        </w:rPr>
        <w:t>Tassi di regolarità:</w:t>
      </w:r>
      <w:r w:rsidRPr="00A4431F">
        <w:rPr>
          <w:rFonts w:ascii="Arial" w:hAnsi="Arial" w:cs="Arial"/>
          <w:bCs/>
          <w:color w:val="000000"/>
          <w:sz w:val="20"/>
          <w:szCs w:val="20"/>
        </w:rPr>
        <w:t xml:space="preserve"> misura l’incidenza delle unità di lavoro regolari rispetto al volume complessivo di unità di lavoro ed è ottenuto dal rapporto, calcolabile a livello settoriale e per dipendenti e indipendenti, tra le unità di lavoro regolari e le unità di lavoro totali, moltiplicato per cento.</w:t>
      </w:r>
    </w:p>
    <w:p w:rsidR="00A4431F" w:rsidRPr="00A4431F" w:rsidRDefault="00A4431F" w:rsidP="00A4431F">
      <w:pPr>
        <w:autoSpaceDE w:val="0"/>
        <w:autoSpaceDN w:val="0"/>
        <w:adjustRightInd w:val="0"/>
        <w:spacing w:after="120"/>
        <w:jc w:val="both"/>
        <w:rPr>
          <w:rFonts w:ascii="Arial" w:hAnsi="Arial" w:cs="Arial"/>
          <w:bCs/>
          <w:color w:val="000000"/>
          <w:sz w:val="20"/>
          <w:szCs w:val="20"/>
        </w:rPr>
      </w:pPr>
      <w:r w:rsidRPr="00A4431F">
        <w:rPr>
          <w:rFonts w:ascii="Arial" w:hAnsi="Arial" w:cs="Arial"/>
          <w:b/>
          <w:bCs/>
          <w:color w:val="1F497D" w:themeColor="text2"/>
          <w:sz w:val="20"/>
          <w:szCs w:val="20"/>
        </w:rPr>
        <w:t>Tasso di irregolarità delle unità di lavoro:</w:t>
      </w:r>
      <w:r w:rsidRPr="00A4431F">
        <w:rPr>
          <w:rFonts w:ascii="Arial" w:hAnsi="Arial" w:cs="Arial"/>
          <w:bCs/>
          <w:color w:val="000000"/>
          <w:sz w:val="20"/>
          <w:szCs w:val="20"/>
        </w:rPr>
        <w:t xml:space="preserve"> rapporto percentuale tra unità di lavoro non regolari e unità di lavoro totali.</w:t>
      </w:r>
    </w:p>
    <w:p w:rsidR="00A4431F" w:rsidRPr="00A4431F" w:rsidRDefault="00A4431F" w:rsidP="00A4431F">
      <w:pPr>
        <w:autoSpaceDE w:val="0"/>
        <w:autoSpaceDN w:val="0"/>
        <w:adjustRightInd w:val="0"/>
        <w:spacing w:after="120"/>
        <w:jc w:val="both"/>
        <w:rPr>
          <w:rFonts w:ascii="Arial" w:hAnsi="Arial" w:cs="Arial"/>
          <w:bCs/>
          <w:color w:val="000000"/>
          <w:sz w:val="20"/>
          <w:szCs w:val="20"/>
        </w:rPr>
      </w:pPr>
      <w:r w:rsidRPr="00A4431F">
        <w:rPr>
          <w:rFonts w:ascii="Arial" w:hAnsi="Arial" w:cs="Arial"/>
          <w:b/>
          <w:bCs/>
          <w:color w:val="1F497D" w:themeColor="text2"/>
          <w:sz w:val="20"/>
          <w:szCs w:val="20"/>
        </w:rPr>
        <w:t>Unità di lavoro (o Unità di lavoro equivalenti a tempo pieno - ULA):</w:t>
      </w:r>
      <w:r w:rsidRPr="00A4431F">
        <w:rPr>
          <w:rFonts w:ascii="Arial" w:hAnsi="Arial" w:cs="Arial"/>
          <w:bCs/>
          <w:color w:val="000000"/>
          <w:sz w:val="20"/>
          <w:szCs w:val="20"/>
        </w:rPr>
        <w:t xml:space="preserve"> le unità di lavoro misurano in modo omogeneo il volume di lavoro prestato da tutti coloro i quali, a prescindere dalla propria residenza, concorrono alle attività di produzione realizzate sul territorio economico di un paese. Le unità di lavoro rappresentano tutte le posizioni lavorati</w:t>
      </w:r>
      <w:r w:rsidR="00CF23CE">
        <w:rPr>
          <w:rFonts w:ascii="Arial" w:hAnsi="Arial" w:cs="Arial"/>
          <w:bCs/>
          <w:color w:val="000000"/>
          <w:sz w:val="20"/>
          <w:szCs w:val="20"/>
        </w:rPr>
        <w:t xml:space="preserve">ve (principali o secondarie) </w:t>
      </w:r>
      <w:r w:rsidRPr="00A4431F">
        <w:rPr>
          <w:rFonts w:ascii="Arial" w:hAnsi="Arial" w:cs="Arial"/>
          <w:bCs/>
          <w:color w:val="000000"/>
          <w:sz w:val="20"/>
          <w:szCs w:val="20"/>
        </w:rPr>
        <w:t>ricoperte dagli occupati, trasformate in unità equivalenti a tempo pieno. Come stabilito dal regolamento dei conti nazionali (SEC 2010), le unità di lavoro sono calcolate come rapporto tra il totale delle ore effettivamente lavorate e il numero medio di ore lavorate a tempo pieno.</w:t>
      </w:r>
    </w:p>
    <w:p w:rsidR="00A4431F" w:rsidRPr="00A4431F" w:rsidRDefault="00A4431F" w:rsidP="00A4431F">
      <w:pPr>
        <w:autoSpaceDE w:val="0"/>
        <w:autoSpaceDN w:val="0"/>
        <w:adjustRightInd w:val="0"/>
        <w:spacing w:after="120"/>
        <w:jc w:val="both"/>
        <w:rPr>
          <w:rFonts w:ascii="Arial" w:hAnsi="Arial" w:cs="Arial"/>
          <w:bCs/>
          <w:color w:val="000000"/>
          <w:sz w:val="20"/>
          <w:szCs w:val="20"/>
        </w:rPr>
      </w:pPr>
      <w:r w:rsidRPr="00A4431F">
        <w:rPr>
          <w:rFonts w:ascii="Arial" w:hAnsi="Arial" w:cs="Arial"/>
          <w:b/>
          <w:bCs/>
          <w:color w:val="1F497D" w:themeColor="text2"/>
          <w:sz w:val="20"/>
          <w:szCs w:val="20"/>
        </w:rPr>
        <w:t>Unità di lavoro non regolari:</w:t>
      </w:r>
      <w:r w:rsidRPr="00A4431F">
        <w:rPr>
          <w:rFonts w:ascii="Arial" w:hAnsi="Arial" w:cs="Arial"/>
          <w:bCs/>
          <w:color w:val="000000"/>
          <w:sz w:val="20"/>
          <w:szCs w:val="20"/>
        </w:rPr>
        <w:t xml:space="preserve"> unità di lavoro relative a prestazioni lavorative svolte senza il rispetto della normativa vigente in materia lavoristica, fiscale e contributiva, quindi non osservabili direttamente presso le imprese, le istituzioni e le fonti amministrative.</w:t>
      </w:r>
    </w:p>
    <w:p w:rsidR="00A4431F" w:rsidRPr="00A4431F" w:rsidRDefault="00A4431F" w:rsidP="00A4431F">
      <w:pPr>
        <w:autoSpaceDE w:val="0"/>
        <w:autoSpaceDN w:val="0"/>
        <w:adjustRightInd w:val="0"/>
        <w:spacing w:after="120"/>
        <w:jc w:val="both"/>
        <w:rPr>
          <w:rFonts w:ascii="Arial" w:hAnsi="Arial" w:cs="Arial"/>
          <w:bCs/>
          <w:color w:val="000000"/>
          <w:sz w:val="20"/>
          <w:szCs w:val="20"/>
        </w:rPr>
      </w:pPr>
      <w:r w:rsidRPr="00A4431F">
        <w:rPr>
          <w:rFonts w:ascii="Arial" w:hAnsi="Arial" w:cs="Arial"/>
          <w:b/>
          <w:bCs/>
          <w:color w:val="1F497D" w:themeColor="text2"/>
          <w:sz w:val="20"/>
          <w:szCs w:val="20"/>
        </w:rPr>
        <w:t>Unità di lavoro regolari:</w:t>
      </w:r>
      <w:r w:rsidRPr="00A4431F">
        <w:rPr>
          <w:rFonts w:ascii="Arial" w:hAnsi="Arial" w:cs="Arial"/>
          <w:bCs/>
          <w:color w:val="000000"/>
          <w:sz w:val="20"/>
          <w:szCs w:val="20"/>
        </w:rPr>
        <w:t xml:space="preserve"> unità di lavoro relative a prestazioni lavorative svolte nel rispetto della normativa vigente in materia lavoristica, fiscale e contributiva e per le quali risulta, quindi, la registrazione negli archivi fiscali o contributivi utilizzabili a fini statistici.</w:t>
      </w:r>
    </w:p>
    <w:p w:rsidR="00A4431F" w:rsidRDefault="00A4431F" w:rsidP="00A4431F">
      <w:pPr>
        <w:autoSpaceDE w:val="0"/>
        <w:autoSpaceDN w:val="0"/>
        <w:adjustRightInd w:val="0"/>
        <w:spacing w:after="120"/>
        <w:jc w:val="both"/>
        <w:rPr>
          <w:rFonts w:ascii="Arial" w:hAnsi="Arial" w:cs="Arial"/>
          <w:b/>
          <w:bCs/>
          <w:color w:val="000000"/>
          <w:sz w:val="20"/>
          <w:szCs w:val="20"/>
        </w:rPr>
      </w:pPr>
      <w:r w:rsidRPr="00A4431F">
        <w:rPr>
          <w:rFonts w:ascii="Arial" w:hAnsi="Arial" w:cs="Arial"/>
          <w:b/>
          <w:bCs/>
          <w:color w:val="1F497D" w:themeColor="text2"/>
          <w:sz w:val="20"/>
          <w:szCs w:val="20"/>
        </w:rPr>
        <w:t>Valore aggiunto ai prezzi base:</w:t>
      </w:r>
      <w:r w:rsidRPr="00A4431F">
        <w:rPr>
          <w:rFonts w:ascii="Arial" w:hAnsi="Arial" w:cs="Arial"/>
          <w:bCs/>
          <w:color w:val="000000"/>
          <w:sz w:val="20"/>
          <w:szCs w:val="20"/>
        </w:rPr>
        <w:t xml:space="preserve"> è la differenza tra il valore della produzione di beni e servizi ed il valore dei costi intermedi sostenuti a fronte di tale produzione. La produzione è valutata ai prezzi base, cioè al netto delle imposte sui prodotti e al lordo dei contributi ai prodotti e i costi intermedi ai prezzi di acquisto. Corrisponde alla somma delle retribuzioni dei fattori produttivi e degli ammortamenti.</w:t>
      </w:r>
    </w:p>
    <w:p w:rsidR="0007346F" w:rsidRDefault="0007346F" w:rsidP="0007346F">
      <w:pPr>
        <w:autoSpaceDE w:val="0"/>
        <w:autoSpaceDN w:val="0"/>
        <w:adjustRightInd w:val="0"/>
        <w:spacing w:after="120"/>
        <w:jc w:val="both"/>
        <w:rPr>
          <w:rFonts w:ascii="Arial" w:hAnsi="Arial" w:cs="Arial"/>
          <w:sz w:val="20"/>
          <w:szCs w:val="20"/>
        </w:rPr>
      </w:pPr>
    </w:p>
    <w:p w:rsidR="00EF1CB8" w:rsidRDefault="00EF1CB8" w:rsidP="00A549BF">
      <w:pPr>
        <w:pStyle w:val="Titolo3"/>
        <w:spacing w:before="0" w:beforeAutospacing="0" w:after="120" w:afterAutospacing="0" w:line="360" w:lineRule="auto"/>
        <w:rPr>
          <w:rFonts w:ascii="Georgia" w:hAnsi="Georgia" w:cs="Arial"/>
          <w:b w:val="0"/>
          <w:color w:val="1F497D"/>
          <w:sz w:val="48"/>
          <w:szCs w:val="48"/>
        </w:rPr>
      </w:pPr>
    </w:p>
    <w:p w:rsidR="00EF1CB8" w:rsidRDefault="00EF1CB8" w:rsidP="00A549BF">
      <w:pPr>
        <w:pStyle w:val="Titolo3"/>
        <w:spacing w:before="0" w:beforeAutospacing="0" w:after="120" w:afterAutospacing="0" w:line="360" w:lineRule="auto"/>
        <w:rPr>
          <w:rFonts w:ascii="Georgia" w:hAnsi="Georgia" w:cs="Arial"/>
          <w:b w:val="0"/>
          <w:color w:val="1F497D"/>
          <w:sz w:val="48"/>
          <w:szCs w:val="48"/>
        </w:rPr>
      </w:pPr>
    </w:p>
    <w:p w:rsidR="00A549BF" w:rsidRPr="005528F5" w:rsidRDefault="00A549BF" w:rsidP="00A549BF">
      <w:pPr>
        <w:pStyle w:val="Titolo3"/>
        <w:spacing w:before="0" w:beforeAutospacing="0" w:after="120" w:afterAutospacing="0" w:line="360" w:lineRule="auto"/>
        <w:rPr>
          <w:rFonts w:ascii="Georgia" w:hAnsi="Georgia" w:cs="Arial"/>
          <w:b w:val="0"/>
          <w:color w:val="1F497D"/>
          <w:sz w:val="48"/>
          <w:szCs w:val="48"/>
        </w:rPr>
      </w:pPr>
      <w:r w:rsidRPr="005528F5">
        <w:rPr>
          <w:rFonts w:ascii="Georgia" w:hAnsi="Georgia" w:cs="Arial"/>
          <w:b w:val="0"/>
          <w:color w:val="1F497D"/>
          <w:sz w:val="48"/>
          <w:szCs w:val="48"/>
        </w:rPr>
        <w:lastRenderedPageBreak/>
        <w:t>N</w:t>
      </w:r>
      <w:r>
        <w:rPr>
          <w:rFonts w:ascii="Georgia" w:hAnsi="Georgia" w:cs="Arial"/>
          <w:b w:val="0"/>
          <w:color w:val="1F497D"/>
          <w:sz w:val="48"/>
          <w:szCs w:val="48"/>
        </w:rPr>
        <w:t>o</w:t>
      </w:r>
      <w:r w:rsidRPr="005528F5">
        <w:rPr>
          <w:rFonts w:ascii="Georgia" w:hAnsi="Georgia" w:cs="Arial"/>
          <w:b w:val="0"/>
          <w:color w:val="1F497D"/>
          <w:sz w:val="48"/>
          <w:szCs w:val="48"/>
        </w:rPr>
        <w:t>ta metodologica</w:t>
      </w:r>
    </w:p>
    <w:p w:rsidR="00A549BF" w:rsidRPr="005528F5" w:rsidRDefault="00A549BF" w:rsidP="00A549BF">
      <w:pPr>
        <w:spacing w:after="120"/>
        <w:jc w:val="both"/>
        <w:rPr>
          <w:rFonts w:ascii="Arial" w:hAnsi="Arial" w:cs="Arial"/>
          <w:b/>
          <w:bCs/>
          <w:color w:val="1F497D"/>
          <w:sz w:val="22"/>
          <w:szCs w:val="22"/>
        </w:rPr>
      </w:pPr>
      <w:r w:rsidRPr="005528F5">
        <w:rPr>
          <w:rFonts w:ascii="Arial" w:hAnsi="Arial" w:cs="Arial"/>
          <w:b/>
          <w:bCs/>
          <w:color w:val="1F497D"/>
          <w:sz w:val="22"/>
          <w:szCs w:val="22"/>
        </w:rPr>
        <w:t xml:space="preserve">Introduzione </w:t>
      </w:r>
    </w:p>
    <w:p w:rsidR="00A549BF" w:rsidRPr="008E0407" w:rsidRDefault="00A549BF" w:rsidP="00A549BF">
      <w:pPr>
        <w:pStyle w:val="Nessunaspaziatura"/>
        <w:spacing w:after="120"/>
        <w:jc w:val="both"/>
        <w:rPr>
          <w:rFonts w:ascii="Arial" w:hAnsi="Arial" w:cs="Arial"/>
          <w:sz w:val="20"/>
          <w:szCs w:val="20"/>
        </w:rPr>
      </w:pPr>
      <w:r w:rsidRPr="008E0407">
        <w:rPr>
          <w:rFonts w:ascii="Arial" w:hAnsi="Arial" w:cs="Arial"/>
          <w:sz w:val="20"/>
          <w:szCs w:val="20"/>
        </w:rPr>
        <w:t>L’economia non osservata (</w:t>
      </w:r>
      <w:r>
        <w:rPr>
          <w:rFonts w:ascii="Arial" w:hAnsi="Arial" w:cs="Arial"/>
          <w:sz w:val="20"/>
          <w:szCs w:val="20"/>
        </w:rPr>
        <w:t>NOE</w:t>
      </w:r>
      <w:r w:rsidRPr="008E0407">
        <w:rPr>
          <w:rFonts w:ascii="Arial" w:hAnsi="Arial" w:cs="Arial"/>
          <w:sz w:val="20"/>
          <w:szCs w:val="20"/>
        </w:rPr>
        <w:t xml:space="preserve">, </w:t>
      </w:r>
      <w:r w:rsidRPr="005F0CC2">
        <w:rPr>
          <w:rFonts w:ascii="Arial" w:hAnsi="Arial" w:cs="Arial"/>
          <w:i/>
          <w:sz w:val="20"/>
          <w:szCs w:val="20"/>
        </w:rPr>
        <w:t>Non-Observed Economy</w:t>
      </w:r>
      <w:r w:rsidRPr="008E0407">
        <w:rPr>
          <w:rFonts w:ascii="Arial" w:hAnsi="Arial" w:cs="Arial"/>
          <w:sz w:val="20"/>
          <w:szCs w:val="20"/>
        </w:rPr>
        <w:t>) include le attività economiche che</w:t>
      </w:r>
      <w:r w:rsidR="00800A60">
        <w:rPr>
          <w:rFonts w:ascii="Arial" w:hAnsi="Arial" w:cs="Arial"/>
          <w:sz w:val="20"/>
          <w:szCs w:val="20"/>
        </w:rPr>
        <w:t xml:space="preserve"> </w:t>
      </w:r>
      <w:r w:rsidRPr="008E0407">
        <w:rPr>
          <w:rFonts w:ascii="Arial" w:hAnsi="Arial" w:cs="Arial"/>
          <w:sz w:val="20"/>
          <w:szCs w:val="20"/>
        </w:rPr>
        <w:t xml:space="preserve">sfuggono all’osservazione statistica diretta. L’inclusione delle diverse componenti della </w:t>
      </w:r>
      <w:r>
        <w:rPr>
          <w:rFonts w:ascii="Arial" w:hAnsi="Arial" w:cs="Arial"/>
          <w:sz w:val="20"/>
          <w:szCs w:val="20"/>
        </w:rPr>
        <w:t xml:space="preserve">NOE </w:t>
      </w:r>
      <w:r w:rsidRPr="008E0407">
        <w:rPr>
          <w:rFonts w:ascii="Arial" w:hAnsi="Arial" w:cs="Arial"/>
          <w:sz w:val="20"/>
          <w:szCs w:val="20"/>
        </w:rPr>
        <w:t xml:space="preserve">nei conti nazionali consente di rispettare il principio dell’esaustività nella rappresentazione dei flussi economici </w:t>
      </w:r>
      <w:r>
        <w:rPr>
          <w:rFonts w:ascii="Arial" w:hAnsi="Arial" w:cs="Arial"/>
          <w:sz w:val="20"/>
          <w:szCs w:val="20"/>
        </w:rPr>
        <w:t xml:space="preserve">e </w:t>
      </w:r>
      <w:r w:rsidRPr="008E0407">
        <w:rPr>
          <w:rFonts w:ascii="Arial" w:hAnsi="Arial" w:cs="Arial"/>
          <w:sz w:val="20"/>
          <w:szCs w:val="20"/>
        </w:rPr>
        <w:t xml:space="preserve">contribuisce a migliorare e rendere più trasparenti le stime </w:t>
      </w:r>
      <w:r>
        <w:rPr>
          <w:rFonts w:ascii="Arial" w:hAnsi="Arial" w:cs="Arial"/>
          <w:sz w:val="20"/>
          <w:szCs w:val="20"/>
        </w:rPr>
        <w:t>de</w:t>
      </w:r>
      <w:r w:rsidRPr="008E0407">
        <w:rPr>
          <w:rFonts w:ascii="Arial" w:hAnsi="Arial" w:cs="Arial"/>
          <w:sz w:val="20"/>
          <w:szCs w:val="20"/>
        </w:rPr>
        <w:t xml:space="preserve">l prodotto interno lordo e </w:t>
      </w:r>
      <w:r>
        <w:rPr>
          <w:rFonts w:ascii="Arial" w:hAnsi="Arial" w:cs="Arial"/>
          <w:sz w:val="20"/>
          <w:szCs w:val="20"/>
        </w:rPr>
        <w:t>de</w:t>
      </w:r>
      <w:r w:rsidRPr="008E0407">
        <w:rPr>
          <w:rFonts w:ascii="Arial" w:hAnsi="Arial" w:cs="Arial"/>
          <w:sz w:val="20"/>
          <w:szCs w:val="20"/>
        </w:rPr>
        <w:t xml:space="preserve">l reddito nazionale lordo. </w:t>
      </w:r>
    </w:p>
    <w:p w:rsidR="00A549BF" w:rsidRDefault="00A549BF" w:rsidP="00A549BF">
      <w:pPr>
        <w:pStyle w:val="Nessunaspaziatura"/>
        <w:spacing w:after="120"/>
        <w:jc w:val="both"/>
        <w:rPr>
          <w:rFonts w:ascii="Arial" w:hAnsi="Arial" w:cs="Arial"/>
          <w:sz w:val="20"/>
          <w:szCs w:val="20"/>
        </w:rPr>
      </w:pPr>
      <w:r>
        <w:rPr>
          <w:rFonts w:ascii="Arial" w:hAnsi="Arial" w:cs="Arial"/>
          <w:sz w:val="20"/>
          <w:szCs w:val="20"/>
        </w:rPr>
        <w:t>Il</w:t>
      </w:r>
      <w:r w:rsidR="00800A60">
        <w:rPr>
          <w:rFonts w:ascii="Arial" w:hAnsi="Arial" w:cs="Arial"/>
          <w:sz w:val="20"/>
          <w:szCs w:val="20"/>
        </w:rPr>
        <w:t xml:space="preserve"> </w:t>
      </w:r>
      <w:r>
        <w:rPr>
          <w:rFonts w:ascii="Arial" w:hAnsi="Arial" w:cs="Arial"/>
          <w:sz w:val="20"/>
          <w:szCs w:val="20"/>
        </w:rPr>
        <w:t>NOE</w:t>
      </w:r>
      <w:r w:rsidR="00800A60">
        <w:rPr>
          <w:rFonts w:ascii="Arial" w:hAnsi="Arial" w:cs="Arial"/>
          <w:sz w:val="20"/>
          <w:szCs w:val="20"/>
        </w:rPr>
        <w:t xml:space="preserve"> </w:t>
      </w:r>
      <w:r>
        <w:rPr>
          <w:rFonts w:ascii="Arial" w:hAnsi="Arial" w:cs="Arial"/>
          <w:sz w:val="20"/>
          <w:szCs w:val="20"/>
        </w:rPr>
        <w:t xml:space="preserve">è costituito da quattro componenti. </w:t>
      </w:r>
    </w:p>
    <w:p w:rsidR="00A549BF" w:rsidRPr="008E0407" w:rsidRDefault="00A549BF" w:rsidP="00A549BF">
      <w:pPr>
        <w:pStyle w:val="Nessunaspaziatura"/>
        <w:spacing w:after="120"/>
        <w:jc w:val="both"/>
        <w:rPr>
          <w:rFonts w:ascii="Arial" w:hAnsi="Arial" w:cs="Arial"/>
          <w:sz w:val="20"/>
          <w:szCs w:val="20"/>
        </w:rPr>
      </w:pPr>
      <w:r>
        <w:rPr>
          <w:rFonts w:ascii="Arial" w:hAnsi="Arial" w:cs="Arial"/>
          <w:sz w:val="20"/>
          <w:szCs w:val="20"/>
        </w:rPr>
        <w:t xml:space="preserve">(1) </w:t>
      </w:r>
      <w:r w:rsidRPr="008E0407">
        <w:rPr>
          <w:rFonts w:ascii="Arial" w:hAnsi="Arial" w:cs="Arial"/>
          <w:sz w:val="20"/>
          <w:szCs w:val="20"/>
        </w:rPr>
        <w:t xml:space="preserve">Il </w:t>
      </w:r>
      <w:r w:rsidRPr="008E0407">
        <w:rPr>
          <w:rFonts w:ascii="Arial" w:hAnsi="Arial" w:cs="Arial"/>
          <w:i/>
          <w:sz w:val="20"/>
          <w:szCs w:val="20"/>
        </w:rPr>
        <w:t>sommerso economico</w:t>
      </w:r>
      <w:r w:rsidRPr="008E0407">
        <w:rPr>
          <w:rFonts w:ascii="Arial" w:hAnsi="Arial" w:cs="Arial"/>
          <w:sz w:val="20"/>
          <w:szCs w:val="20"/>
        </w:rPr>
        <w:t xml:space="preserve"> include le attività che sono volontariamente celate alle autorità fiscali, previdenziali e statistiche. Esso è </w:t>
      </w:r>
      <w:r>
        <w:rPr>
          <w:rFonts w:ascii="Arial" w:hAnsi="Arial" w:cs="Arial"/>
          <w:sz w:val="20"/>
          <w:szCs w:val="20"/>
        </w:rPr>
        <w:t xml:space="preserve">costituito dall’ammontare di valore aggiunto derivante </w:t>
      </w:r>
      <w:r w:rsidRPr="008E0407">
        <w:rPr>
          <w:rFonts w:ascii="Arial" w:hAnsi="Arial" w:cs="Arial"/>
          <w:sz w:val="20"/>
          <w:szCs w:val="20"/>
        </w:rPr>
        <w:t xml:space="preserve">da dichiarazioni mendaci riguardanti il fatturato e/o i costi (sotto-dichiarazione del valore aggiunto), </w:t>
      </w:r>
      <w:r>
        <w:rPr>
          <w:rFonts w:ascii="Arial" w:hAnsi="Arial" w:cs="Arial"/>
          <w:sz w:val="20"/>
          <w:szCs w:val="20"/>
        </w:rPr>
        <w:t>o dall’</w:t>
      </w:r>
      <w:r w:rsidRPr="008E0407">
        <w:rPr>
          <w:rFonts w:ascii="Arial" w:hAnsi="Arial" w:cs="Arial"/>
          <w:sz w:val="20"/>
          <w:szCs w:val="20"/>
        </w:rPr>
        <w:t xml:space="preserve">utilizzo di input di lavoro </w:t>
      </w:r>
      <w:r>
        <w:rPr>
          <w:rFonts w:ascii="Arial" w:hAnsi="Arial" w:cs="Arial"/>
          <w:sz w:val="20"/>
          <w:szCs w:val="20"/>
        </w:rPr>
        <w:t>non regolare</w:t>
      </w:r>
      <w:r w:rsidRPr="008E0407">
        <w:rPr>
          <w:rFonts w:ascii="Arial" w:hAnsi="Arial" w:cs="Arial"/>
          <w:sz w:val="20"/>
          <w:szCs w:val="20"/>
        </w:rPr>
        <w:t>.</w:t>
      </w:r>
    </w:p>
    <w:p w:rsidR="00A549BF" w:rsidRPr="008E0407" w:rsidRDefault="00A549BF" w:rsidP="00A549BF">
      <w:pPr>
        <w:pStyle w:val="Nessunaspaziatura"/>
        <w:spacing w:after="120"/>
        <w:jc w:val="both"/>
        <w:rPr>
          <w:rFonts w:ascii="Arial" w:hAnsi="Arial" w:cs="Arial"/>
          <w:sz w:val="20"/>
          <w:szCs w:val="20"/>
        </w:rPr>
      </w:pPr>
      <w:r>
        <w:rPr>
          <w:rFonts w:ascii="Arial" w:hAnsi="Arial" w:cs="Arial"/>
          <w:sz w:val="20"/>
          <w:szCs w:val="20"/>
        </w:rPr>
        <w:t xml:space="preserve">(2) </w:t>
      </w:r>
      <w:r w:rsidRPr="008E0407">
        <w:rPr>
          <w:rFonts w:ascii="Arial" w:hAnsi="Arial" w:cs="Arial"/>
          <w:sz w:val="20"/>
          <w:szCs w:val="20"/>
        </w:rPr>
        <w:t>L’</w:t>
      </w:r>
      <w:r w:rsidRPr="008E0407">
        <w:rPr>
          <w:rFonts w:ascii="Arial" w:hAnsi="Arial" w:cs="Arial"/>
          <w:i/>
          <w:sz w:val="20"/>
          <w:szCs w:val="20"/>
        </w:rPr>
        <w:t>economia illegale</w:t>
      </w:r>
      <w:r w:rsidR="00710108">
        <w:rPr>
          <w:rFonts w:ascii="Arial" w:hAnsi="Arial" w:cs="Arial"/>
          <w:i/>
          <w:sz w:val="20"/>
          <w:szCs w:val="20"/>
        </w:rPr>
        <w:t xml:space="preserve"> </w:t>
      </w:r>
      <w:r>
        <w:rPr>
          <w:rFonts w:ascii="Arial" w:hAnsi="Arial" w:cs="Arial"/>
          <w:sz w:val="20"/>
          <w:szCs w:val="20"/>
        </w:rPr>
        <w:t>include le</w:t>
      </w:r>
      <w:r w:rsidRPr="008E0407">
        <w:rPr>
          <w:rFonts w:ascii="Arial" w:hAnsi="Arial" w:cs="Arial"/>
          <w:sz w:val="20"/>
          <w:szCs w:val="20"/>
        </w:rPr>
        <w:t xml:space="preserve"> attività produttive aventi per oggetto beni e servizi illegali, o che, pur riguardando beni e servizi legali, sono svolte senza adeguata autorizzazione o titolo. </w:t>
      </w:r>
      <w:r>
        <w:rPr>
          <w:rFonts w:ascii="Arial" w:hAnsi="Arial" w:cs="Arial"/>
          <w:sz w:val="20"/>
          <w:szCs w:val="20"/>
        </w:rPr>
        <w:t>Sebbene</w:t>
      </w:r>
      <w:r w:rsidRPr="008E0407">
        <w:rPr>
          <w:rFonts w:ascii="Arial" w:hAnsi="Arial" w:cs="Arial"/>
          <w:sz w:val="20"/>
          <w:szCs w:val="20"/>
        </w:rPr>
        <w:t xml:space="preserve"> il sistema dei conti nazionali </w:t>
      </w:r>
      <w:r>
        <w:rPr>
          <w:rFonts w:ascii="Arial" w:hAnsi="Arial" w:cs="Arial"/>
          <w:sz w:val="20"/>
          <w:szCs w:val="20"/>
        </w:rPr>
        <w:t xml:space="preserve">preveda che rientrino nei </w:t>
      </w:r>
      <w:r w:rsidRPr="008E0407">
        <w:rPr>
          <w:rFonts w:ascii="Arial" w:hAnsi="Arial" w:cs="Arial"/>
          <w:sz w:val="20"/>
          <w:szCs w:val="20"/>
        </w:rPr>
        <w:t>confini della produzione</w:t>
      </w:r>
      <w:r w:rsidR="00710108">
        <w:rPr>
          <w:rFonts w:ascii="Arial" w:hAnsi="Arial" w:cs="Arial"/>
          <w:sz w:val="20"/>
          <w:szCs w:val="20"/>
        </w:rPr>
        <w:t xml:space="preserve"> </w:t>
      </w:r>
      <w:r w:rsidRPr="008E0407">
        <w:rPr>
          <w:rFonts w:ascii="Arial" w:hAnsi="Arial" w:cs="Arial"/>
          <w:sz w:val="20"/>
          <w:szCs w:val="20"/>
        </w:rPr>
        <w:t xml:space="preserve">tutte le attività illegali </w:t>
      </w:r>
      <w:r>
        <w:rPr>
          <w:rFonts w:ascii="Arial" w:hAnsi="Arial" w:cs="Arial"/>
          <w:sz w:val="20"/>
          <w:szCs w:val="20"/>
        </w:rPr>
        <w:t xml:space="preserve">caratterizzate dal </w:t>
      </w:r>
      <w:r w:rsidRPr="008E0407">
        <w:rPr>
          <w:rFonts w:ascii="Arial" w:hAnsi="Arial" w:cs="Arial"/>
          <w:sz w:val="20"/>
          <w:szCs w:val="20"/>
        </w:rPr>
        <w:t>mutuo consenso fra i contraenti,</w:t>
      </w:r>
      <w:r w:rsidRPr="008E0407">
        <w:rPr>
          <w:rStyle w:val="Rimandonotaapidipagina"/>
          <w:rFonts w:ascii="Arial" w:hAnsi="Arial" w:cs="Arial"/>
          <w:sz w:val="20"/>
          <w:szCs w:val="20"/>
        </w:rPr>
        <w:footnoteReference w:id="1"/>
      </w:r>
      <w:r>
        <w:rPr>
          <w:rFonts w:ascii="Arial" w:hAnsi="Arial" w:cs="Arial"/>
          <w:sz w:val="20"/>
          <w:szCs w:val="20"/>
        </w:rPr>
        <w:t xml:space="preserve">sulla base delle indicazioni fornite da Eurostat, </w:t>
      </w:r>
      <w:r w:rsidRPr="008E0407">
        <w:rPr>
          <w:rFonts w:ascii="Arial" w:hAnsi="Arial" w:cs="Arial"/>
          <w:sz w:val="20"/>
          <w:szCs w:val="20"/>
        </w:rPr>
        <w:t xml:space="preserve">solo alcune </w:t>
      </w:r>
      <w:r>
        <w:rPr>
          <w:rFonts w:ascii="Arial" w:hAnsi="Arial" w:cs="Arial"/>
          <w:sz w:val="20"/>
          <w:szCs w:val="20"/>
        </w:rPr>
        <w:t xml:space="preserve">di esse </w:t>
      </w:r>
      <w:r w:rsidRPr="008E0407">
        <w:rPr>
          <w:rFonts w:ascii="Arial" w:hAnsi="Arial" w:cs="Arial"/>
          <w:sz w:val="20"/>
          <w:szCs w:val="20"/>
        </w:rPr>
        <w:t>sono state incluse nel sistema dei conti</w:t>
      </w:r>
      <w:r>
        <w:rPr>
          <w:rFonts w:ascii="Arial" w:hAnsi="Arial" w:cs="Arial"/>
          <w:sz w:val="20"/>
          <w:szCs w:val="20"/>
        </w:rPr>
        <w:t>: traffico di</w:t>
      </w:r>
      <w:r w:rsidR="00710108">
        <w:rPr>
          <w:rFonts w:ascii="Arial" w:hAnsi="Arial" w:cs="Arial"/>
          <w:sz w:val="20"/>
          <w:szCs w:val="20"/>
        </w:rPr>
        <w:t xml:space="preserve"> </w:t>
      </w:r>
      <w:r>
        <w:rPr>
          <w:rFonts w:ascii="Arial" w:hAnsi="Arial" w:cs="Arial"/>
          <w:sz w:val="20"/>
          <w:szCs w:val="20"/>
        </w:rPr>
        <w:t xml:space="preserve">stupefacenti, servizi di prostituzione e contrabbando di tabacco. </w:t>
      </w:r>
    </w:p>
    <w:p w:rsidR="00A549BF" w:rsidRPr="008E0407" w:rsidRDefault="00A549BF" w:rsidP="00A549BF">
      <w:pPr>
        <w:pStyle w:val="Nessunaspaziatura"/>
        <w:spacing w:after="120"/>
        <w:jc w:val="both"/>
        <w:rPr>
          <w:rFonts w:ascii="Arial" w:hAnsi="Arial" w:cs="Arial"/>
          <w:sz w:val="20"/>
          <w:szCs w:val="20"/>
        </w:rPr>
      </w:pPr>
      <w:r>
        <w:rPr>
          <w:rFonts w:ascii="Arial" w:hAnsi="Arial" w:cs="Arial"/>
          <w:sz w:val="20"/>
          <w:szCs w:val="20"/>
        </w:rPr>
        <w:t xml:space="preserve">(3) </w:t>
      </w:r>
      <w:r w:rsidRPr="008E0407">
        <w:rPr>
          <w:rFonts w:ascii="Arial" w:hAnsi="Arial" w:cs="Arial"/>
          <w:sz w:val="20"/>
          <w:szCs w:val="20"/>
        </w:rPr>
        <w:t xml:space="preserve">Il </w:t>
      </w:r>
      <w:r w:rsidRPr="008E0407">
        <w:rPr>
          <w:rFonts w:ascii="Arial" w:hAnsi="Arial" w:cs="Arial"/>
          <w:i/>
          <w:sz w:val="20"/>
          <w:szCs w:val="20"/>
        </w:rPr>
        <w:t>sommerso statistico</w:t>
      </w:r>
      <w:r w:rsidRPr="008E0407">
        <w:rPr>
          <w:rFonts w:ascii="Arial" w:hAnsi="Arial" w:cs="Arial"/>
          <w:sz w:val="20"/>
          <w:szCs w:val="20"/>
        </w:rPr>
        <w:t xml:space="preserve"> include le attività </w:t>
      </w:r>
      <w:r>
        <w:rPr>
          <w:rFonts w:ascii="Arial" w:hAnsi="Arial" w:cs="Arial"/>
          <w:sz w:val="20"/>
          <w:szCs w:val="20"/>
        </w:rPr>
        <w:t xml:space="preserve">non osservate </w:t>
      </w:r>
      <w:r w:rsidRPr="008E0407">
        <w:rPr>
          <w:rFonts w:ascii="Arial" w:hAnsi="Arial" w:cs="Arial"/>
          <w:sz w:val="20"/>
          <w:szCs w:val="20"/>
        </w:rPr>
        <w:t xml:space="preserve">per motivi riferibili </w:t>
      </w:r>
      <w:r>
        <w:rPr>
          <w:rFonts w:ascii="Arial" w:hAnsi="Arial" w:cs="Arial"/>
          <w:sz w:val="20"/>
          <w:szCs w:val="20"/>
        </w:rPr>
        <w:t xml:space="preserve">alle </w:t>
      </w:r>
      <w:r w:rsidRPr="008E0407">
        <w:rPr>
          <w:rFonts w:ascii="Arial" w:hAnsi="Arial" w:cs="Arial"/>
          <w:sz w:val="20"/>
          <w:szCs w:val="20"/>
        </w:rPr>
        <w:t>inefficienze informative che caratterizzano le basi di dati (errori campionari e non) o per errori di copertura negli archivi.</w:t>
      </w:r>
      <w:r w:rsidRPr="008E0407">
        <w:rPr>
          <w:rStyle w:val="Rimandonotaapidipagina"/>
          <w:rFonts w:ascii="Arial" w:hAnsi="Arial" w:cs="Arial"/>
          <w:sz w:val="20"/>
          <w:szCs w:val="20"/>
        </w:rPr>
        <w:footnoteReference w:id="2"/>
      </w:r>
    </w:p>
    <w:p w:rsidR="00A549BF" w:rsidRPr="008E0407" w:rsidRDefault="00A549BF" w:rsidP="00A549BF">
      <w:pPr>
        <w:pStyle w:val="Nessunaspaziatura"/>
        <w:spacing w:after="120"/>
        <w:jc w:val="both"/>
        <w:rPr>
          <w:rFonts w:ascii="Arial" w:hAnsi="Arial" w:cs="Arial"/>
          <w:sz w:val="20"/>
          <w:szCs w:val="20"/>
        </w:rPr>
      </w:pPr>
      <w:r>
        <w:rPr>
          <w:rFonts w:ascii="Arial" w:hAnsi="Arial" w:cs="Arial"/>
          <w:sz w:val="20"/>
          <w:szCs w:val="20"/>
        </w:rPr>
        <w:t xml:space="preserve">(4) </w:t>
      </w:r>
      <w:r w:rsidRPr="008E0407">
        <w:rPr>
          <w:rFonts w:ascii="Arial" w:hAnsi="Arial" w:cs="Arial"/>
          <w:sz w:val="20"/>
          <w:szCs w:val="20"/>
        </w:rPr>
        <w:t>L’</w:t>
      </w:r>
      <w:r w:rsidRPr="008E0407">
        <w:rPr>
          <w:rFonts w:ascii="Arial" w:hAnsi="Arial" w:cs="Arial"/>
          <w:i/>
          <w:sz w:val="20"/>
          <w:szCs w:val="20"/>
        </w:rPr>
        <w:t>economia informale</w:t>
      </w:r>
      <w:r w:rsidRPr="008E0407">
        <w:rPr>
          <w:rFonts w:ascii="Arial" w:hAnsi="Arial" w:cs="Arial"/>
          <w:sz w:val="20"/>
          <w:szCs w:val="20"/>
        </w:rPr>
        <w:t xml:space="preserve"> include </w:t>
      </w:r>
      <w:r>
        <w:rPr>
          <w:rFonts w:ascii="Arial" w:hAnsi="Arial" w:cs="Arial"/>
          <w:sz w:val="20"/>
          <w:szCs w:val="20"/>
        </w:rPr>
        <w:t xml:space="preserve">le </w:t>
      </w:r>
      <w:r w:rsidRPr="008E0407">
        <w:rPr>
          <w:rFonts w:ascii="Arial" w:hAnsi="Arial" w:cs="Arial"/>
          <w:sz w:val="20"/>
          <w:szCs w:val="20"/>
        </w:rPr>
        <w:t xml:space="preserve">attività produttive svolte in contesti poco o per nulla organizzati, basati su rapporti di lavoro non regolati da contratti formali, ma nell’ambito di relazioni personali o familiari. </w:t>
      </w:r>
    </w:p>
    <w:p w:rsidR="00A549BF" w:rsidRPr="008E0407" w:rsidRDefault="00A549BF" w:rsidP="00A549BF">
      <w:pPr>
        <w:pStyle w:val="Nessunaspaziatura"/>
        <w:spacing w:after="120"/>
        <w:jc w:val="both"/>
        <w:rPr>
          <w:rFonts w:ascii="Arial" w:hAnsi="Arial" w:cs="Arial"/>
          <w:sz w:val="20"/>
          <w:szCs w:val="20"/>
        </w:rPr>
      </w:pPr>
      <w:r>
        <w:rPr>
          <w:rFonts w:ascii="Arial" w:hAnsi="Arial" w:cs="Arial"/>
          <w:sz w:val="20"/>
          <w:szCs w:val="20"/>
        </w:rPr>
        <w:t xml:space="preserve">La misurazione del sommerso economico è principalmente costituita dalla stima della sotto-dichiarazione del valore aggiunto e dal valore aggiunto relativo all’utilizzo di lavoro non regolare; ulteriori integrazioni derivano </w:t>
      </w:r>
      <w:r w:rsidRPr="008E0407">
        <w:rPr>
          <w:rFonts w:ascii="Arial" w:hAnsi="Arial" w:cs="Arial"/>
          <w:sz w:val="20"/>
          <w:szCs w:val="20"/>
        </w:rPr>
        <w:t>(1) dalla valutazione delle mance che i lavoratori dipendenti ricevono dai clienti in alcune attività economiche</w:t>
      </w:r>
      <w:r>
        <w:rPr>
          <w:rFonts w:ascii="Arial" w:hAnsi="Arial" w:cs="Arial"/>
          <w:sz w:val="20"/>
          <w:szCs w:val="20"/>
        </w:rPr>
        <w:t>,</w:t>
      </w:r>
      <w:r w:rsidRPr="008E0407">
        <w:rPr>
          <w:rFonts w:ascii="Arial" w:hAnsi="Arial" w:cs="Arial"/>
          <w:sz w:val="20"/>
          <w:szCs w:val="20"/>
        </w:rPr>
        <w:t xml:space="preserve"> (2) dai risultati della procedura di riconciliazione delle stime indipendenti dell’offerta e della domanda</w:t>
      </w:r>
      <w:r>
        <w:rPr>
          <w:rFonts w:ascii="Arial" w:hAnsi="Arial" w:cs="Arial"/>
          <w:sz w:val="20"/>
          <w:szCs w:val="20"/>
        </w:rPr>
        <w:t xml:space="preserve">, </w:t>
      </w:r>
      <w:r w:rsidRPr="008E0407">
        <w:rPr>
          <w:rFonts w:ascii="Arial" w:hAnsi="Arial" w:cs="Arial"/>
          <w:sz w:val="20"/>
          <w:szCs w:val="20"/>
        </w:rPr>
        <w:t xml:space="preserve">(3) dalla valutazione degli affitti in nero. </w:t>
      </w:r>
    </w:p>
    <w:p w:rsidR="00A549BF" w:rsidRDefault="00A549BF" w:rsidP="00A549BF">
      <w:pPr>
        <w:pStyle w:val="Nessunaspaziatura"/>
        <w:spacing w:after="120"/>
        <w:jc w:val="both"/>
        <w:rPr>
          <w:rFonts w:ascii="Arial" w:hAnsi="Arial" w:cs="Arial"/>
          <w:sz w:val="20"/>
          <w:szCs w:val="20"/>
        </w:rPr>
      </w:pPr>
    </w:p>
    <w:p w:rsidR="00A549BF" w:rsidRPr="008E0407" w:rsidRDefault="00A549BF" w:rsidP="009C6676">
      <w:pPr>
        <w:pStyle w:val="Nessunaspaziatura"/>
        <w:spacing w:after="120"/>
        <w:jc w:val="both"/>
        <w:rPr>
          <w:rFonts w:ascii="Arial" w:hAnsi="Arial" w:cs="Arial"/>
          <w:b/>
          <w:sz w:val="20"/>
          <w:szCs w:val="20"/>
        </w:rPr>
      </w:pPr>
      <w:r w:rsidRPr="005528F5">
        <w:rPr>
          <w:rFonts w:ascii="Arial" w:hAnsi="Arial" w:cs="Arial"/>
          <w:b/>
          <w:color w:val="1F497D"/>
          <w:szCs w:val="20"/>
        </w:rPr>
        <w:t>La sotto-dichiarazione del valore aggiunto</w:t>
      </w:r>
    </w:p>
    <w:p w:rsidR="00A549BF" w:rsidRPr="008E0407" w:rsidRDefault="00A549BF" w:rsidP="00A549BF">
      <w:pPr>
        <w:pStyle w:val="Nessunaspaziatura"/>
        <w:spacing w:after="120"/>
        <w:jc w:val="both"/>
        <w:rPr>
          <w:rFonts w:ascii="Arial" w:hAnsi="Arial" w:cs="Arial"/>
          <w:sz w:val="20"/>
          <w:szCs w:val="20"/>
        </w:rPr>
      </w:pPr>
      <w:r w:rsidRPr="008E0407">
        <w:rPr>
          <w:rFonts w:ascii="Arial" w:hAnsi="Arial" w:cs="Arial"/>
          <w:sz w:val="20"/>
          <w:szCs w:val="20"/>
        </w:rPr>
        <w:t>La sotto-dichiarazione del valore aggiunto è connessa al deliberato occultamento</w:t>
      </w:r>
      <w:r w:rsidR="00710108">
        <w:rPr>
          <w:rFonts w:ascii="Arial" w:hAnsi="Arial" w:cs="Arial"/>
          <w:sz w:val="20"/>
          <w:szCs w:val="20"/>
        </w:rPr>
        <w:t xml:space="preserve"> </w:t>
      </w:r>
      <w:r w:rsidRPr="008E0407">
        <w:rPr>
          <w:rFonts w:ascii="Arial" w:hAnsi="Arial" w:cs="Arial"/>
          <w:sz w:val="20"/>
          <w:szCs w:val="20"/>
        </w:rPr>
        <w:t>da parte delle imprese di una parte del reddito, attraverso dichiarazioni volutamente errate del fatturato e/o dei costi.</w:t>
      </w:r>
    </w:p>
    <w:p w:rsidR="00A549BF" w:rsidRPr="008E0407" w:rsidRDefault="00A549BF" w:rsidP="00A549BF">
      <w:pPr>
        <w:pStyle w:val="Nessunaspaziatura"/>
        <w:spacing w:after="120"/>
        <w:jc w:val="both"/>
        <w:rPr>
          <w:rFonts w:ascii="Arial" w:hAnsi="Arial" w:cs="Arial"/>
          <w:sz w:val="20"/>
          <w:szCs w:val="20"/>
        </w:rPr>
      </w:pPr>
      <w:r>
        <w:rPr>
          <w:rFonts w:ascii="Arial" w:hAnsi="Arial" w:cs="Arial"/>
          <w:sz w:val="20"/>
          <w:szCs w:val="20"/>
        </w:rPr>
        <w:t xml:space="preserve">I </w:t>
      </w:r>
      <w:r w:rsidRPr="008E0407">
        <w:rPr>
          <w:rFonts w:ascii="Arial" w:hAnsi="Arial" w:cs="Arial"/>
          <w:sz w:val="20"/>
          <w:szCs w:val="20"/>
        </w:rPr>
        <w:t xml:space="preserve">metodi </w:t>
      </w:r>
      <w:r>
        <w:rPr>
          <w:rFonts w:ascii="Arial" w:hAnsi="Arial" w:cs="Arial"/>
          <w:sz w:val="20"/>
          <w:szCs w:val="20"/>
        </w:rPr>
        <w:t>di stima della sotto-dichiarazione utilizzano l’</w:t>
      </w:r>
      <w:r w:rsidRPr="008E0407">
        <w:rPr>
          <w:rFonts w:ascii="Arial" w:hAnsi="Arial" w:cs="Arial"/>
          <w:sz w:val="20"/>
          <w:szCs w:val="20"/>
        </w:rPr>
        <w:t xml:space="preserve">insieme informativo </w:t>
      </w:r>
      <w:r>
        <w:rPr>
          <w:rFonts w:ascii="Arial" w:hAnsi="Arial" w:cs="Arial"/>
          <w:sz w:val="20"/>
          <w:szCs w:val="20"/>
        </w:rPr>
        <w:t xml:space="preserve">costituito dal </w:t>
      </w:r>
      <w:r w:rsidRPr="008E0407">
        <w:rPr>
          <w:rFonts w:ascii="Arial" w:hAnsi="Arial" w:cs="Arial"/>
          <w:sz w:val="20"/>
          <w:szCs w:val="20"/>
        </w:rPr>
        <w:t>Frame-SBS</w:t>
      </w:r>
      <w:r>
        <w:rPr>
          <w:rFonts w:ascii="Arial" w:hAnsi="Arial" w:cs="Arial"/>
          <w:sz w:val="20"/>
          <w:szCs w:val="20"/>
        </w:rPr>
        <w:t>,</w:t>
      </w:r>
      <w:r w:rsidRPr="008E0407">
        <w:rPr>
          <w:rFonts w:ascii="Arial" w:hAnsi="Arial" w:cs="Arial"/>
          <w:sz w:val="20"/>
          <w:szCs w:val="20"/>
        </w:rPr>
        <w:t xml:space="preserve"> una base di dati di tipo censuario </w:t>
      </w:r>
      <w:r>
        <w:rPr>
          <w:rFonts w:ascii="Arial" w:hAnsi="Arial" w:cs="Arial"/>
          <w:sz w:val="20"/>
          <w:szCs w:val="20"/>
        </w:rPr>
        <w:t xml:space="preserve">che integra fonti amministrative e indagini, che include informazioni </w:t>
      </w:r>
      <w:r w:rsidRPr="008E0407">
        <w:rPr>
          <w:rFonts w:ascii="Arial" w:hAnsi="Arial" w:cs="Arial"/>
          <w:sz w:val="20"/>
          <w:szCs w:val="20"/>
        </w:rPr>
        <w:t xml:space="preserve">sui conti economici delle imprese attive che operano per il mercato. </w:t>
      </w:r>
    </w:p>
    <w:p w:rsidR="00A549BF" w:rsidRPr="008E0407" w:rsidRDefault="00A549BF" w:rsidP="00A549BF">
      <w:pPr>
        <w:pStyle w:val="Nessunaspaziatura"/>
        <w:spacing w:after="120"/>
        <w:jc w:val="both"/>
        <w:rPr>
          <w:rFonts w:ascii="Arial" w:hAnsi="Arial" w:cs="Arial"/>
          <w:sz w:val="20"/>
          <w:szCs w:val="20"/>
        </w:rPr>
      </w:pPr>
      <w:r w:rsidRPr="008E0407">
        <w:rPr>
          <w:rFonts w:ascii="Arial" w:hAnsi="Arial" w:cs="Arial"/>
          <w:sz w:val="20"/>
          <w:szCs w:val="20"/>
        </w:rPr>
        <w:t xml:space="preserve">La disponibilità di dati </w:t>
      </w:r>
      <w:r>
        <w:rPr>
          <w:rFonts w:ascii="Arial" w:hAnsi="Arial" w:cs="Arial"/>
          <w:sz w:val="20"/>
          <w:szCs w:val="20"/>
        </w:rPr>
        <w:t xml:space="preserve">microeconomici censuari </w:t>
      </w:r>
      <w:r w:rsidRPr="008E0407">
        <w:rPr>
          <w:rFonts w:ascii="Arial" w:hAnsi="Arial" w:cs="Arial"/>
          <w:sz w:val="20"/>
          <w:szCs w:val="20"/>
        </w:rPr>
        <w:t xml:space="preserve">ha consentito di sviluppare specifiche procedure di stima coerenti con diverse tipologie di impresa, migliorando </w:t>
      </w:r>
      <w:r w:rsidR="00EE7CFD">
        <w:rPr>
          <w:rFonts w:ascii="Arial" w:hAnsi="Arial" w:cs="Arial"/>
          <w:sz w:val="20"/>
          <w:szCs w:val="20"/>
        </w:rPr>
        <w:t>la corrispondenza</w:t>
      </w:r>
      <w:r w:rsidRPr="008E0407">
        <w:rPr>
          <w:rFonts w:ascii="Arial" w:hAnsi="Arial" w:cs="Arial"/>
          <w:sz w:val="20"/>
          <w:szCs w:val="20"/>
        </w:rPr>
        <w:t xml:space="preserve"> fra modelli e caratteristiche </w:t>
      </w:r>
      <w:r>
        <w:rPr>
          <w:rFonts w:ascii="Arial" w:hAnsi="Arial" w:cs="Arial"/>
          <w:sz w:val="20"/>
          <w:szCs w:val="20"/>
        </w:rPr>
        <w:t>delle osservazioni.</w:t>
      </w:r>
      <w:r w:rsidR="00710108">
        <w:rPr>
          <w:rFonts w:ascii="Arial" w:hAnsi="Arial" w:cs="Arial"/>
          <w:sz w:val="20"/>
          <w:szCs w:val="20"/>
        </w:rPr>
        <w:t xml:space="preserve"> </w:t>
      </w:r>
      <w:r>
        <w:rPr>
          <w:rFonts w:ascii="Arial" w:hAnsi="Arial" w:cs="Arial"/>
          <w:sz w:val="20"/>
          <w:szCs w:val="20"/>
        </w:rPr>
        <w:t xml:space="preserve">La </w:t>
      </w:r>
      <w:r w:rsidRPr="008E0407">
        <w:rPr>
          <w:rFonts w:ascii="Arial" w:hAnsi="Arial" w:cs="Arial"/>
          <w:sz w:val="20"/>
          <w:szCs w:val="20"/>
        </w:rPr>
        <w:t xml:space="preserve">popolazione </w:t>
      </w:r>
      <w:r>
        <w:rPr>
          <w:rFonts w:ascii="Arial" w:hAnsi="Arial" w:cs="Arial"/>
          <w:sz w:val="20"/>
          <w:szCs w:val="20"/>
        </w:rPr>
        <w:t xml:space="preserve">analizzata coincide con </w:t>
      </w:r>
      <w:r w:rsidRPr="008E0407">
        <w:rPr>
          <w:rFonts w:ascii="Arial" w:hAnsi="Arial" w:cs="Arial"/>
          <w:sz w:val="20"/>
          <w:szCs w:val="20"/>
        </w:rPr>
        <w:t>le imprese attive operanti sul mercato che occupano meno di 100 addetti</w:t>
      </w:r>
      <w:r w:rsidRPr="008E0407">
        <w:rPr>
          <w:rStyle w:val="Rimandonotaapidipagina"/>
          <w:rFonts w:ascii="Arial" w:hAnsi="Arial" w:cs="Arial"/>
          <w:sz w:val="20"/>
          <w:szCs w:val="20"/>
        </w:rPr>
        <w:footnoteReference w:id="3"/>
      </w:r>
      <w:r w:rsidRPr="008E0407">
        <w:rPr>
          <w:rFonts w:ascii="Arial" w:hAnsi="Arial" w:cs="Arial"/>
          <w:sz w:val="20"/>
          <w:szCs w:val="20"/>
        </w:rPr>
        <w:t xml:space="preserve"> e non rientrano in particolari condizioni di non trattabilità ed esclusione.</w:t>
      </w:r>
      <w:r w:rsidRPr="008E0407">
        <w:rPr>
          <w:rStyle w:val="Rimandonotaapidipagina"/>
          <w:rFonts w:ascii="Arial" w:hAnsi="Arial" w:cs="Arial"/>
          <w:sz w:val="20"/>
          <w:szCs w:val="20"/>
        </w:rPr>
        <w:footnoteReference w:id="4"/>
      </w:r>
    </w:p>
    <w:p w:rsidR="00A549BF" w:rsidRPr="00174DA8" w:rsidRDefault="00A549BF" w:rsidP="00A549BF">
      <w:pPr>
        <w:pStyle w:val="Nessunaspaziatura"/>
        <w:ind w:firstLine="1843"/>
        <w:jc w:val="both"/>
        <w:rPr>
          <w:rFonts w:ascii="Arial" w:hAnsi="Arial" w:cs="Arial"/>
          <w:sz w:val="10"/>
          <w:szCs w:val="20"/>
        </w:rPr>
      </w:pPr>
    </w:p>
    <w:p w:rsidR="00EF1CB8" w:rsidRDefault="00EF1CB8" w:rsidP="00A549BF">
      <w:pPr>
        <w:pStyle w:val="Nessunaspaziatura"/>
        <w:jc w:val="both"/>
        <w:rPr>
          <w:rFonts w:ascii="Arial" w:hAnsi="Arial" w:cs="Arial"/>
          <w:color w:val="1F497D"/>
          <w:szCs w:val="20"/>
        </w:rPr>
      </w:pPr>
    </w:p>
    <w:p w:rsidR="00A549BF" w:rsidRPr="005528F5" w:rsidRDefault="00A549BF" w:rsidP="009C6676">
      <w:pPr>
        <w:pStyle w:val="Nessunaspaziatura"/>
        <w:spacing w:after="120"/>
        <w:jc w:val="both"/>
        <w:rPr>
          <w:rFonts w:ascii="Arial" w:hAnsi="Arial" w:cs="Arial"/>
          <w:color w:val="1F497D"/>
          <w:sz w:val="20"/>
          <w:szCs w:val="20"/>
        </w:rPr>
      </w:pPr>
      <w:r w:rsidRPr="005528F5">
        <w:rPr>
          <w:rFonts w:ascii="Arial" w:hAnsi="Arial" w:cs="Arial"/>
          <w:color w:val="1F497D"/>
          <w:szCs w:val="20"/>
        </w:rPr>
        <w:lastRenderedPageBreak/>
        <w:t>La popolazione di riferimento</w:t>
      </w:r>
    </w:p>
    <w:p w:rsidR="00A549BF" w:rsidRPr="008E0407" w:rsidRDefault="00A549BF" w:rsidP="00A549BF">
      <w:pPr>
        <w:pStyle w:val="Nessunaspaziatura"/>
        <w:spacing w:after="120"/>
        <w:jc w:val="both"/>
        <w:rPr>
          <w:rFonts w:ascii="Arial" w:hAnsi="Arial" w:cs="Arial"/>
          <w:sz w:val="20"/>
          <w:szCs w:val="20"/>
        </w:rPr>
      </w:pPr>
      <w:r>
        <w:rPr>
          <w:rFonts w:ascii="Arial" w:hAnsi="Arial" w:cs="Arial"/>
          <w:sz w:val="20"/>
          <w:szCs w:val="20"/>
        </w:rPr>
        <w:t>La</w:t>
      </w:r>
      <w:r w:rsidRPr="008E0407">
        <w:rPr>
          <w:rFonts w:ascii="Arial" w:hAnsi="Arial" w:cs="Arial"/>
          <w:sz w:val="20"/>
          <w:szCs w:val="20"/>
        </w:rPr>
        <w:t xml:space="preserve"> popolazione di imprese s</w:t>
      </w:r>
      <w:r>
        <w:rPr>
          <w:rFonts w:ascii="Arial" w:hAnsi="Arial" w:cs="Arial"/>
          <w:sz w:val="20"/>
          <w:szCs w:val="20"/>
        </w:rPr>
        <w:t>ottoposte alla procedura è stata ripartita</w:t>
      </w:r>
      <w:r w:rsidRPr="008E0407">
        <w:rPr>
          <w:rFonts w:ascii="Arial" w:hAnsi="Arial" w:cs="Arial"/>
          <w:sz w:val="20"/>
          <w:szCs w:val="20"/>
        </w:rPr>
        <w:t xml:space="preserve"> in quattro gruppi sulla base delle loro caratteristiche economiche, organizzative e tecnologiche</w:t>
      </w:r>
      <w:r>
        <w:rPr>
          <w:rFonts w:ascii="Arial" w:hAnsi="Arial" w:cs="Arial"/>
          <w:sz w:val="20"/>
          <w:szCs w:val="20"/>
        </w:rPr>
        <w:t>, in modo</w:t>
      </w:r>
      <w:r w:rsidR="00710108">
        <w:rPr>
          <w:rFonts w:ascii="Arial" w:hAnsi="Arial" w:cs="Arial"/>
          <w:sz w:val="20"/>
          <w:szCs w:val="20"/>
        </w:rPr>
        <w:t xml:space="preserve"> </w:t>
      </w:r>
      <w:r>
        <w:rPr>
          <w:rFonts w:ascii="Arial" w:hAnsi="Arial" w:cs="Arial"/>
          <w:sz w:val="20"/>
          <w:szCs w:val="20"/>
        </w:rPr>
        <w:t xml:space="preserve">da </w:t>
      </w:r>
      <w:r w:rsidRPr="008E0407">
        <w:rPr>
          <w:rFonts w:ascii="Arial" w:hAnsi="Arial" w:cs="Arial"/>
          <w:sz w:val="20"/>
          <w:szCs w:val="20"/>
        </w:rPr>
        <w:t xml:space="preserve">adattare i modelli di </w:t>
      </w:r>
      <w:r>
        <w:rPr>
          <w:rFonts w:ascii="Arial" w:hAnsi="Arial" w:cs="Arial"/>
          <w:sz w:val="20"/>
          <w:szCs w:val="20"/>
        </w:rPr>
        <w:t xml:space="preserve">stima </w:t>
      </w:r>
      <w:r w:rsidRPr="008E0407">
        <w:rPr>
          <w:rFonts w:ascii="Arial" w:hAnsi="Arial" w:cs="Arial"/>
          <w:sz w:val="20"/>
          <w:szCs w:val="20"/>
        </w:rPr>
        <w:t>della sotto-dichiarazione alle peculiarità strutturali e comportamentali delle imprese.</w:t>
      </w:r>
    </w:p>
    <w:p w:rsidR="00A549BF" w:rsidRDefault="00A549BF" w:rsidP="00A549BF">
      <w:pPr>
        <w:pStyle w:val="Nessunaspaziatura"/>
        <w:spacing w:after="120"/>
        <w:jc w:val="both"/>
        <w:rPr>
          <w:rFonts w:ascii="Arial" w:hAnsi="Arial" w:cs="Arial"/>
          <w:sz w:val="20"/>
          <w:szCs w:val="20"/>
        </w:rPr>
      </w:pPr>
      <w:r w:rsidRPr="008E0407">
        <w:rPr>
          <w:rFonts w:ascii="Arial" w:hAnsi="Arial" w:cs="Arial"/>
          <w:sz w:val="20"/>
          <w:szCs w:val="20"/>
        </w:rPr>
        <w:t xml:space="preserve">Le </w:t>
      </w:r>
      <w:r w:rsidRPr="008E0407">
        <w:rPr>
          <w:rFonts w:ascii="Arial" w:hAnsi="Arial" w:cs="Arial"/>
          <w:i/>
          <w:sz w:val="20"/>
          <w:szCs w:val="20"/>
        </w:rPr>
        <w:t>Unità di dimensione minima</w:t>
      </w:r>
      <w:r w:rsidRPr="008E0407">
        <w:rPr>
          <w:rFonts w:ascii="Arial" w:hAnsi="Arial" w:cs="Arial"/>
          <w:sz w:val="20"/>
          <w:szCs w:val="20"/>
        </w:rPr>
        <w:t xml:space="preserve"> includono le imprese in cui il lavoro dell’imprenditore si può </w:t>
      </w:r>
      <w:r>
        <w:rPr>
          <w:rFonts w:ascii="Arial" w:hAnsi="Arial" w:cs="Arial"/>
          <w:sz w:val="20"/>
          <w:szCs w:val="20"/>
        </w:rPr>
        <w:t>considerare</w:t>
      </w:r>
      <w:r w:rsidRPr="008E0407">
        <w:rPr>
          <w:rFonts w:ascii="Arial" w:hAnsi="Arial" w:cs="Arial"/>
          <w:sz w:val="20"/>
          <w:szCs w:val="20"/>
        </w:rPr>
        <w:t xml:space="preserve"> fungibile rispetto a quello </w:t>
      </w:r>
      <w:r>
        <w:rPr>
          <w:rFonts w:ascii="Arial" w:hAnsi="Arial" w:cs="Arial"/>
          <w:sz w:val="20"/>
          <w:szCs w:val="20"/>
        </w:rPr>
        <w:t xml:space="preserve">di un </w:t>
      </w:r>
      <w:r w:rsidRPr="008E0407">
        <w:rPr>
          <w:rFonts w:ascii="Arial" w:hAnsi="Arial" w:cs="Arial"/>
          <w:sz w:val="20"/>
          <w:szCs w:val="20"/>
        </w:rPr>
        <w:t>lavoratore dipendente a parità di specializzazione, orario di lavoro e attività economica. L’impresa coincide di fatto con il proprio titolare e la dotazione di attrezzature è assente o poco rilevante. Ai fini di una più articolata individuazione dei modelli di comportamento, tale categoria</w:t>
      </w:r>
      <w:r w:rsidR="00710108">
        <w:rPr>
          <w:rFonts w:ascii="Arial" w:hAnsi="Arial" w:cs="Arial"/>
          <w:sz w:val="20"/>
          <w:szCs w:val="20"/>
        </w:rPr>
        <w:t xml:space="preserve"> </w:t>
      </w:r>
      <w:r w:rsidRPr="008E0407">
        <w:rPr>
          <w:rFonts w:ascii="Arial" w:hAnsi="Arial" w:cs="Arial"/>
          <w:sz w:val="20"/>
          <w:szCs w:val="20"/>
        </w:rPr>
        <w:t>è stata ulteriormente suddivisa in tre sottogruppi</w:t>
      </w:r>
      <w:r>
        <w:rPr>
          <w:rFonts w:ascii="Arial" w:hAnsi="Arial" w:cs="Arial"/>
          <w:sz w:val="20"/>
          <w:szCs w:val="20"/>
        </w:rPr>
        <w:t>.</w:t>
      </w:r>
    </w:p>
    <w:p w:rsidR="00A549BF" w:rsidRPr="008E0407" w:rsidRDefault="00A549BF" w:rsidP="00A549BF">
      <w:pPr>
        <w:pStyle w:val="Nessunaspaziatura"/>
        <w:spacing w:after="120"/>
        <w:jc w:val="both"/>
        <w:rPr>
          <w:rFonts w:ascii="Arial" w:hAnsi="Arial" w:cs="Arial"/>
          <w:sz w:val="20"/>
          <w:szCs w:val="20"/>
        </w:rPr>
      </w:pPr>
      <w:r w:rsidRPr="008E0407">
        <w:rPr>
          <w:rFonts w:ascii="Arial" w:hAnsi="Arial" w:cs="Arial"/>
          <w:sz w:val="20"/>
          <w:szCs w:val="20"/>
        </w:rPr>
        <w:t>Il primo sottogruppo comprende le unità in condizioni di marginalità economica che</w:t>
      </w:r>
      <w:r w:rsidR="00710108">
        <w:rPr>
          <w:rFonts w:ascii="Arial" w:hAnsi="Arial" w:cs="Arial"/>
          <w:sz w:val="20"/>
          <w:szCs w:val="20"/>
        </w:rPr>
        <w:t xml:space="preserve"> </w:t>
      </w:r>
      <w:r w:rsidRPr="008E0407">
        <w:rPr>
          <w:rFonts w:ascii="Arial" w:hAnsi="Arial" w:cs="Arial"/>
          <w:sz w:val="20"/>
          <w:szCs w:val="20"/>
        </w:rPr>
        <w:t xml:space="preserve">non </w:t>
      </w:r>
      <w:r>
        <w:rPr>
          <w:rFonts w:ascii="Arial" w:hAnsi="Arial" w:cs="Arial"/>
          <w:sz w:val="20"/>
          <w:szCs w:val="20"/>
        </w:rPr>
        <w:t xml:space="preserve">sono </w:t>
      </w:r>
      <w:r w:rsidRPr="008E0407">
        <w:rPr>
          <w:rFonts w:ascii="Arial" w:hAnsi="Arial" w:cs="Arial"/>
          <w:sz w:val="20"/>
          <w:szCs w:val="20"/>
        </w:rPr>
        <w:t xml:space="preserve">sottoposte </w:t>
      </w:r>
      <w:r>
        <w:rPr>
          <w:rFonts w:ascii="Arial" w:hAnsi="Arial" w:cs="Arial"/>
          <w:sz w:val="20"/>
          <w:szCs w:val="20"/>
        </w:rPr>
        <w:t xml:space="preserve">alla </w:t>
      </w:r>
      <w:r w:rsidRPr="008E0407">
        <w:rPr>
          <w:rFonts w:ascii="Arial" w:hAnsi="Arial" w:cs="Arial"/>
          <w:sz w:val="20"/>
          <w:szCs w:val="20"/>
        </w:rPr>
        <w:t xml:space="preserve">procedura di rivalutazione </w:t>
      </w:r>
      <w:r>
        <w:rPr>
          <w:rFonts w:ascii="Arial" w:hAnsi="Arial" w:cs="Arial"/>
          <w:sz w:val="20"/>
          <w:szCs w:val="20"/>
        </w:rPr>
        <w:t>(</w:t>
      </w:r>
      <w:r w:rsidRPr="008E0407">
        <w:rPr>
          <w:rFonts w:ascii="Arial" w:hAnsi="Arial" w:cs="Arial"/>
          <w:sz w:val="20"/>
          <w:szCs w:val="20"/>
        </w:rPr>
        <w:t xml:space="preserve">imprenditori detentori di altre forme di reddito da lavoro </w:t>
      </w:r>
      <w:r>
        <w:rPr>
          <w:rFonts w:ascii="Arial" w:hAnsi="Arial" w:cs="Arial"/>
          <w:sz w:val="20"/>
          <w:szCs w:val="20"/>
        </w:rPr>
        <w:t xml:space="preserve">– </w:t>
      </w:r>
      <w:r w:rsidRPr="008E0407">
        <w:rPr>
          <w:rFonts w:ascii="Arial" w:hAnsi="Arial" w:cs="Arial"/>
          <w:sz w:val="20"/>
          <w:szCs w:val="20"/>
        </w:rPr>
        <w:t>redditi pensionistici o da lavoro dipendente</w:t>
      </w:r>
      <w:r>
        <w:rPr>
          <w:rFonts w:ascii="Arial" w:hAnsi="Arial" w:cs="Arial"/>
          <w:sz w:val="20"/>
          <w:szCs w:val="20"/>
        </w:rPr>
        <w:t xml:space="preserve"> –</w:t>
      </w:r>
      <w:r w:rsidRPr="008E0407">
        <w:rPr>
          <w:rFonts w:ascii="Arial" w:hAnsi="Arial" w:cs="Arial"/>
          <w:sz w:val="20"/>
          <w:szCs w:val="20"/>
        </w:rPr>
        <w:t xml:space="preserve"> o con età anagrafica superiore a 70 anni</w:t>
      </w:r>
      <w:r>
        <w:rPr>
          <w:rFonts w:ascii="Arial" w:hAnsi="Arial" w:cs="Arial"/>
          <w:sz w:val="20"/>
          <w:szCs w:val="20"/>
        </w:rPr>
        <w:t>)</w:t>
      </w:r>
      <w:r w:rsidRPr="008E0407">
        <w:rPr>
          <w:rFonts w:ascii="Arial" w:hAnsi="Arial" w:cs="Arial"/>
          <w:sz w:val="20"/>
          <w:szCs w:val="20"/>
        </w:rPr>
        <w:t xml:space="preserve">. </w:t>
      </w:r>
    </w:p>
    <w:p w:rsidR="00A549BF" w:rsidRPr="008E0407" w:rsidRDefault="00A549BF" w:rsidP="00A549BF">
      <w:pPr>
        <w:pStyle w:val="Nessunaspaziatura"/>
        <w:spacing w:after="120"/>
        <w:jc w:val="both"/>
        <w:rPr>
          <w:rFonts w:ascii="Arial" w:hAnsi="Arial" w:cs="Arial"/>
          <w:sz w:val="20"/>
          <w:szCs w:val="20"/>
        </w:rPr>
      </w:pPr>
      <w:r>
        <w:rPr>
          <w:rFonts w:ascii="Arial" w:hAnsi="Arial" w:cs="Arial"/>
          <w:sz w:val="20"/>
          <w:szCs w:val="20"/>
        </w:rPr>
        <w:t>Il secondo sottogruppo</w:t>
      </w:r>
      <w:r w:rsidRPr="008E0407">
        <w:rPr>
          <w:rFonts w:ascii="Arial" w:hAnsi="Arial" w:cs="Arial"/>
          <w:sz w:val="20"/>
          <w:szCs w:val="20"/>
        </w:rPr>
        <w:t xml:space="preserve"> comprende le unità </w:t>
      </w:r>
      <w:r>
        <w:rPr>
          <w:rFonts w:ascii="Arial" w:hAnsi="Arial" w:cs="Arial"/>
          <w:sz w:val="20"/>
          <w:szCs w:val="20"/>
        </w:rPr>
        <w:t xml:space="preserve">caratterizzate da una </w:t>
      </w:r>
      <w:r w:rsidRPr="008E0407">
        <w:rPr>
          <w:rFonts w:ascii="Arial" w:hAnsi="Arial" w:cs="Arial"/>
          <w:sz w:val="20"/>
          <w:szCs w:val="20"/>
        </w:rPr>
        <w:t>bassa capacità di produrre reddito</w:t>
      </w:r>
      <w:r>
        <w:rPr>
          <w:rFonts w:ascii="Arial" w:hAnsi="Arial" w:cs="Arial"/>
          <w:sz w:val="20"/>
          <w:szCs w:val="20"/>
        </w:rPr>
        <w:t xml:space="preserve"> (</w:t>
      </w:r>
      <w:r w:rsidRPr="008E0407">
        <w:rPr>
          <w:rFonts w:ascii="Arial" w:hAnsi="Arial" w:cs="Arial"/>
          <w:sz w:val="20"/>
          <w:szCs w:val="20"/>
        </w:rPr>
        <w:t xml:space="preserve">unità che operano in attività economiche che non richiedono competenze e formazione specializzate, </w:t>
      </w:r>
      <w:r>
        <w:rPr>
          <w:rFonts w:ascii="Arial" w:hAnsi="Arial" w:cs="Arial"/>
          <w:sz w:val="20"/>
          <w:szCs w:val="20"/>
        </w:rPr>
        <w:t>che non impiegano personale esterno</w:t>
      </w:r>
      <w:r w:rsidRPr="008E0407">
        <w:rPr>
          <w:rFonts w:ascii="Arial" w:hAnsi="Arial" w:cs="Arial"/>
          <w:sz w:val="20"/>
          <w:szCs w:val="20"/>
        </w:rPr>
        <w:t xml:space="preserve"> e i cui titolari hanno età anagrafica tra 40 e 70 anni</w:t>
      </w:r>
      <w:r>
        <w:rPr>
          <w:rFonts w:ascii="Arial" w:hAnsi="Arial" w:cs="Arial"/>
          <w:sz w:val="20"/>
          <w:szCs w:val="20"/>
        </w:rPr>
        <w:t>, oppure</w:t>
      </w:r>
      <w:r w:rsidRPr="008E0407">
        <w:rPr>
          <w:rFonts w:ascii="Arial" w:hAnsi="Arial" w:cs="Arial"/>
          <w:sz w:val="20"/>
          <w:szCs w:val="20"/>
        </w:rPr>
        <w:t xml:space="preserve"> i cui titolari hanno </w:t>
      </w:r>
      <w:r>
        <w:rPr>
          <w:rFonts w:ascii="Arial" w:hAnsi="Arial" w:cs="Arial"/>
          <w:sz w:val="20"/>
          <w:szCs w:val="20"/>
        </w:rPr>
        <w:t>età anagrafica tra 30 e 40 anni</w:t>
      </w:r>
      <w:r w:rsidRPr="008E0407">
        <w:rPr>
          <w:rFonts w:ascii="Arial" w:hAnsi="Arial" w:cs="Arial"/>
          <w:sz w:val="20"/>
          <w:szCs w:val="20"/>
        </w:rPr>
        <w:t xml:space="preserve"> indipendentemente </w:t>
      </w:r>
      <w:r>
        <w:rPr>
          <w:rFonts w:ascii="Arial" w:hAnsi="Arial" w:cs="Arial"/>
          <w:sz w:val="20"/>
          <w:szCs w:val="20"/>
        </w:rPr>
        <w:t>dalle altre caratteristiche)</w:t>
      </w:r>
      <w:r w:rsidRPr="008E0407">
        <w:rPr>
          <w:rFonts w:ascii="Arial" w:hAnsi="Arial" w:cs="Arial"/>
          <w:sz w:val="20"/>
          <w:szCs w:val="20"/>
        </w:rPr>
        <w:t xml:space="preserve">. </w:t>
      </w:r>
    </w:p>
    <w:p w:rsidR="00A549BF" w:rsidRPr="008E0407" w:rsidRDefault="00A549BF" w:rsidP="00A549BF">
      <w:pPr>
        <w:pStyle w:val="Nessunaspaziatura"/>
        <w:spacing w:after="120"/>
        <w:jc w:val="both"/>
        <w:rPr>
          <w:rFonts w:ascii="Arial" w:hAnsi="Arial" w:cs="Arial"/>
          <w:sz w:val="20"/>
          <w:szCs w:val="20"/>
        </w:rPr>
      </w:pPr>
      <w:r w:rsidRPr="008E0407">
        <w:rPr>
          <w:rFonts w:ascii="Arial" w:hAnsi="Arial" w:cs="Arial"/>
          <w:sz w:val="20"/>
          <w:szCs w:val="20"/>
        </w:rPr>
        <w:t>Il terzo sottogruppo comprende le unità che hanno una maggiore capacità di produrre reddito</w:t>
      </w:r>
      <w:r>
        <w:rPr>
          <w:rFonts w:ascii="Arial" w:hAnsi="Arial" w:cs="Arial"/>
          <w:sz w:val="20"/>
          <w:szCs w:val="20"/>
        </w:rPr>
        <w:t xml:space="preserve"> (unità che operano</w:t>
      </w:r>
      <w:r w:rsidRPr="008E0407">
        <w:rPr>
          <w:rFonts w:ascii="Arial" w:hAnsi="Arial" w:cs="Arial"/>
          <w:sz w:val="20"/>
          <w:szCs w:val="20"/>
        </w:rPr>
        <w:t xml:space="preserve"> in attività economiche che richiedono competenze e formazione altamente specializzate, indipendentemente dal fatto che impieghino o meno personale esterno oppure che, pur operando in attività economiche che richiedono competenze meno specializzate, impiegano personale esterno</w:t>
      </w:r>
      <w:r>
        <w:rPr>
          <w:rFonts w:ascii="Arial" w:hAnsi="Arial" w:cs="Arial"/>
          <w:sz w:val="20"/>
          <w:szCs w:val="20"/>
        </w:rPr>
        <w:t>)</w:t>
      </w:r>
      <w:r w:rsidRPr="008E0407">
        <w:rPr>
          <w:rFonts w:ascii="Arial" w:hAnsi="Arial" w:cs="Arial"/>
          <w:sz w:val="20"/>
          <w:szCs w:val="20"/>
        </w:rPr>
        <w:t>.</w:t>
      </w:r>
    </w:p>
    <w:p w:rsidR="00A549BF" w:rsidRPr="008E0407" w:rsidRDefault="00A549BF" w:rsidP="00A549BF">
      <w:pPr>
        <w:pStyle w:val="Nessunaspaziatura"/>
        <w:spacing w:after="120"/>
        <w:jc w:val="both"/>
        <w:rPr>
          <w:rFonts w:ascii="Arial" w:hAnsi="Arial" w:cs="Arial"/>
          <w:sz w:val="20"/>
          <w:szCs w:val="20"/>
        </w:rPr>
      </w:pPr>
      <w:r w:rsidRPr="008E0407">
        <w:rPr>
          <w:rFonts w:ascii="Arial" w:hAnsi="Arial" w:cs="Arial"/>
          <w:sz w:val="20"/>
          <w:szCs w:val="20"/>
        </w:rPr>
        <w:t xml:space="preserve">Le </w:t>
      </w:r>
      <w:r w:rsidRPr="008E0407">
        <w:rPr>
          <w:rFonts w:ascii="Arial" w:hAnsi="Arial" w:cs="Arial"/>
          <w:i/>
          <w:sz w:val="20"/>
          <w:szCs w:val="20"/>
        </w:rPr>
        <w:t>unità micro</w:t>
      </w:r>
      <w:r w:rsidRPr="008E0407">
        <w:rPr>
          <w:rFonts w:ascii="Arial" w:hAnsi="Arial" w:cs="Arial"/>
          <w:sz w:val="20"/>
          <w:szCs w:val="20"/>
        </w:rPr>
        <w:t xml:space="preserve"> includono </w:t>
      </w:r>
      <w:r>
        <w:rPr>
          <w:rFonts w:ascii="Arial" w:hAnsi="Arial" w:cs="Arial"/>
          <w:sz w:val="20"/>
          <w:szCs w:val="20"/>
        </w:rPr>
        <w:t xml:space="preserve">le </w:t>
      </w:r>
      <w:r w:rsidRPr="008E0407">
        <w:rPr>
          <w:rFonts w:ascii="Arial" w:hAnsi="Arial" w:cs="Arial"/>
          <w:sz w:val="20"/>
          <w:szCs w:val="20"/>
        </w:rPr>
        <w:t>imprese che, pur impiegando fattori di produzione diversi dal lavoro dell’imprenditore e possedendo una dotazione rilevante di immobilizzazioni tecniche, sono caratterizzate da una struttura organizzativa e produttiva ridotta</w:t>
      </w:r>
      <w:r>
        <w:rPr>
          <w:rFonts w:ascii="Arial" w:hAnsi="Arial" w:cs="Arial"/>
          <w:sz w:val="20"/>
          <w:szCs w:val="20"/>
        </w:rPr>
        <w:t xml:space="preserve"> (</w:t>
      </w:r>
      <w:r w:rsidRPr="008E0407">
        <w:rPr>
          <w:rFonts w:ascii="Arial" w:hAnsi="Arial" w:cs="Arial"/>
          <w:sz w:val="20"/>
          <w:szCs w:val="20"/>
        </w:rPr>
        <w:t>unità</w:t>
      </w:r>
      <w:r>
        <w:rPr>
          <w:rFonts w:ascii="Arial" w:hAnsi="Arial" w:cs="Arial"/>
          <w:sz w:val="20"/>
          <w:szCs w:val="20"/>
        </w:rPr>
        <w:t xml:space="preserve"> – </w:t>
      </w:r>
      <w:r w:rsidRPr="008E0407">
        <w:rPr>
          <w:rFonts w:ascii="Arial" w:hAnsi="Arial" w:cs="Arial"/>
          <w:sz w:val="20"/>
          <w:szCs w:val="20"/>
        </w:rPr>
        <w:t>non incluse nella categoria precedente</w:t>
      </w:r>
      <w:r>
        <w:rPr>
          <w:rFonts w:ascii="Arial" w:hAnsi="Arial" w:cs="Arial"/>
          <w:sz w:val="20"/>
          <w:szCs w:val="20"/>
        </w:rPr>
        <w:t xml:space="preserve"> –</w:t>
      </w:r>
      <w:r w:rsidRPr="008E0407">
        <w:rPr>
          <w:rFonts w:ascii="Arial" w:hAnsi="Arial" w:cs="Arial"/>
          <w:sz w:val="20"/>
          <w:szCs w:val="20"/>
        </w:rPr>
        <w:t xml:space="preserve"> che occupano meno di 10 addetti</w:t>
      </w:r>
      <w:r>
        <w:rPr>
          <w:rFonts w:ascii="Arial" w:hAnsi="Arial" w:cs="Arial"/>
          <w:sz w:val="20"/>
          <w:szCs w:val="20"/>
        </w:rPr>
        <w:t xml:space="preserve"> nell’</w:t>
      </w:r>
      <w:r w:rsidRPr="008E0407">
        <w:rPr>
          <w:rFonts w:ascii="Arial" w:hAnsi="Arial" w:cs="Arial"/>
          <w:sz w:val="20"/>
          <w:szCs w:val="20"/>
        </w:rPr>
        <w:t>industri</w:t>
      </w:r>
      <w:r>
        <w:rPr>
          <w:rFonts w:ascii="Arial" w:hAnsi="Arial" w:cs="Arial"/>
          <w:sz w:val="20"/>
          <w:szCs w:val="20"/>
        </w:rPr>
        <w:t xml:space="preserve">a </w:t>
      </w:r>
      <w:r w:rsidRPr="008E0407">
        <w:rPr>
          <w:rFonts w:ascii="Arial" w:hAnsi="Arial" w:cs="Arial"/>
          <w:sz w:val="20"/>
          <w:szCs w:val="20"/>
        </w:rPr>
        <w:t>o meno di 6 addetti</w:t>
      </w:r>
      <w:r>
        <w:rPr>
          <w:rFonts w:ascii="Arial" w:hAnsi="Arial" w:cs="Arial"/>
          <w:sz w:val="20"/>
          <w:szCs w:val="20"/>
        </w:rPr>
        <w:t xml:space="preserve"> nei </w:t>
      </w:r>
      <w:r w:rsidRPr="008E0407">
        <w:rPr>
          <w:rFonts w:ascii="Arial" w:hAnsi="Arial" w:cs="Arial"/>
          <w:sz w:val="20"/>
          <w:szCs w:val="20"/>
        </w:rPr>
        <w:t>servizi</w:t>
      </w:r>
      <w:r>
        <w:rPr>
          <w:rFonts w:ascii="Arial" w:hAnsi="Arial" w:cs="Arial"/>
          <w:sz w:val="20"/>
          <w:szCs w:val="20"/>
        </w:rPr>
        <w:t>)</w:t>
      </w:r>
      <w:r w:rsidRPr="008E0407">
        <w:rPr>
          <w:rFonts w:ascii="Arial" w:hAnsi="Arial" w:cs="Arial"/>
          <w:sz w:val="20"/>
          <w:szCs w:val="20"/>
        </w:rPr>
        <w:t xml:space="preserve">. </w:t>
      </w:r>
    </w:p>
    <w:p w:rsidR="00A549BF" w:rsidRPr="008E0407" w:rsidRDefault="00A549BF" w:rsidP="00A549BF">
      <w:pPr>
        <w:pStyle w:val="Nessunaspaziatura"/>
        <w:spacing w:after="120"/>
        <w:jc w:val="both"/>
        <w:rPr>
          <w:rFonts w:ascii="Arial" w:hAnsi="Arial" w:cs="Arial"/>
          <w:sz w:val="20"/>
          <w:szCs w:val="20"/>
        </w:rPr>
      </w:pPr>
      <w:r w:rsidRPr="008E0407">
        <w:rPr>
          <w:rFonts w:ascii="Arial" w:hAnsi="Arial" w:cs="Arial"/>
          <w:sz w:val="20"/>
          <w:szCs w:val="20"/>
        </w:rPr>
        <w:t xml:space="preserve">Le </w:t>
      </w:r>
      <w:r w:rsidRPr="008E0407">
        <w:rPr>
          <w:rFonts w:ascii="Arial" w:hAnsi="Arial" w:cs="Arial"/>
          <w:i/>
          <w:sz w:val="20"/>
          <w:szCs w:val="20"/>
        </w:rPr>
        <w:t>unità organizzate</w:t>
      </w:r>
      <w:r w:rsidRPr="008E0407">
        <w:rPr>
          <w:rFonts w:ascii="Arial" w:hAnsi="Arial" w:cs="Arial"/>
          <w:sz w:val="20"/>
          <w:szCs w:val="20"/>
        </w:rPr>
        <w:t xml:space="preserve"> includono le piccole e medie imprese con un assetto organizzativo e produttivo più articolato</w:t>
      </w:r>
      <w:r>
        <w:rPr>
          <w:rFonts w:ascii="Arial" w:hAnsi="Arial" w:cs="Arial"/>
          <w:sz w:val="20"/>
          <w:szCs w:val="20"/>
        </w:rPr>
        <w:t xml:space="preserve"> (unità con più di </w:t>
      </w:r>
      <w:r w:rsidRPr="008E0407">
        <w:rPr>
          <w:rFonts w:ascii="Arial" w:hAnsi="Arial" w:cs="Arial"/>
          <w:sz w:val="20"/>
          <w:szCs w:val="20"/>
        </w:rPr>
        <w:t xml:space="preserve">10 addetti nell’industria e </w:t>
      </w:r>
      <w:r>
        <w:rPr>
          <w:rFonts w:ascii="Arial" w:hAnsi="Arial" w:cs="Arial"/>
          <w:sz w:val="20"/>
          <w:szCs w:val="20"/>
        </w:rPr>
        <w:t xml:space="preserve">più di </w:t>
      </w:r>
      <w:r w:rsidRPr="008E0407">
        <w:rPr>
          <w:rFonts w:ascii="Arial" w:hAnsi="Arial" w:cs="Arial"/>
          <w:sz w:val="20"/>
          <w:szCs w:val="20"/>
        </w:rPr>
        <w:t xml:space="preserve">6 addetti </w:t>
      </w:r>
      <w:r>
        <w:rPr>
          <w:rFonts w:ascii="Arial" w:hAnsi="Arial" w:cs="Arial"/>
          <w:sz w:val="20"/>
          <w:szCs w:val="20"/>
        </w:rPr>
        <w:t xml:space="preserve">nei </w:t>
      </w:r>
      <w:r w:rsidRPr="008E0407">
        <w:rPr>
          <w:rFonts w:ascii="Arial" w:hAnsi="Arial" w:cs="Arial"/>
          <w:sz w:val="20"/>
          <w:szCs w:val="20"/>
        </w:rPr>
        <w:t>servizi</w:t>
      </w:r>
      <w:r>
        <w:rPr>
          <w:rFonts w:ascii="Arial" w:hAnsi="Arial" w:cs="Arial"/>
          <w:sz w:val="20"/>
          <w:szCs w:val="20"/>
        </w:rPr>
        <w:t>)</w:t>
      </w:r>
      <w:r w:rsidRPr="008E0407">
        <w:rPr>
          <w:rFonts w:ascii="Arial" w:hAnsi="Arial" w:cs="Arial"/>
          <w:sz w:val="20"/>
          <w:szCs w:val="20"/>
        </w:rPr>
        <w:t>.</w:t>
      </w:r>
    </w:p>
    <w:p w:rsidR="00A549BF" w:rsidRDefault="00A549BF" w:rsidP="00A549BF">
      <w:pPr>
        <w:pStyle w:val="Nessunaspaziatura"/>
        <w:spacing w:after="120"/>
        <w:jc w:val="both"/>
        <w:rPr>
          <w:rFonts w:ascii="Arial" w:hAnsi="Arial" w:cs="Arial"/>
          <w:sz w:val="20"/>
          <w:szCs w:val="20"/>
        </w:rPr>
      </w:pPr>
      <w:r w:rsidRPr="008E0407">
        <w:rPr>
          <w:rFonts w:ascii="Arial" w:hAnsi="Arial" w:cs="Arial"/>
          <w:sz w:val="20"/>
          <w:szCs w:val="20"/>
        </w:rPr>
        <w:t xml:space="preserve">Le </w:t>
      </w:r>
      <w:r w:rsidRPr="008E0407">
        <w:rPr>
          <w:rFonts w:ascii="Arial" w:hAnsi="Arial" w:cs="Arial"/>
          <w:i/>
          <w:sz w:val="20"/>
          <w:szCs w:val="20"/>
        </w:rPr>
        <w:t>unità appartenenti a gruppi di imprese domestici</w:t>
      </w:r>
      <w:r w:rsidRPr="008E0407">
        <w:rPr>
          <w:rFonts w:ascii="Arial" w:hAnsi="Arial" w:cs="Arial"/>
          <w:sz w:val="20"/>
          <w:szCs w:val="20"/>
        </w:rPr>
        <w:t xml:space="preserve"> sono rappresentate da tutte quelle imprese con meno di 100 addetti che presentano collegamenti proprietari di gru</w:t>
      </w:r>
      <w:r>
        <w:rPr>
          <w:rFonts w:ascii="Arial" w:hAnsi="Arial" w:cs="Arial"/>
          <w:sz w:val="20"/>
          <w:szCs w:val="20"/>
        </w:rPr>
        <w:t>ppo riferibili esclusivamente a</w:t>
      </w:r>
      <w:r w:rsidRPr="008E0407">
        <w:rPr>
          <w:rFonts w:ascii="Arial" w:hAnsi="Arial" w:cs="Arial"/>
          <w:sz w:val="20"/>
          <w:szCs w:val="20"/>
        </w:rPr>
        <w:t xml:space="preserve"> unità residenti sul territorio nazionale.</w:t>
      </w:r>
      <w:r w:rsidRPr="008E0407">
        <w:rPr>
          <w:rFonts w:ascii="Arial" w:hAnsi="Arial" w:cs="Arial"/>
          <w:sz w:val="20"/>
          <w:szCs w:val="20"/>
          <w:vertAlign w:val="superscript"/>
        </w:rPr>
        <w:footnoteReference w:id="5"/>
      </w:r>
    </w:p>
    <w:p w:rsidR="00A549BF" w:rsidRPr="007A68A2" w:rsidRDefault="00A549BF" w:rsidP="00A549BF">
      <w:pPr>
        <w:pStyle w:val="Nessunaspaziatura"/>
        <w:spacing w:after="120"/>
        <w:jc w:val="both"/>
        <w:rPr>
          <w:rFonts w:ascii="Arial" w:hAnsi="Arial" w:cs="Arial"/>
          <w:sz w:val="20"/>
          <w:szCs w:val="20"/>
        </w:rPr>
      </w:pPr>
    </w:p>
    <w:p w:rsidR="00A549BF" w:rsidRPr="005528F5" w:rsidRDefault="00A549BF" w:rsidP="009C6676">
      <w:pPr>
        <w:pStyle w:val="Nessunaspaziatura"/>
        <w:spacing w:after="120"/>
        <w:jc w:val="both"/>
        <w:rPr>
          <w:rFonts w:ascii="Arial" w:hAnsi="Arial" w:cs="Arial"/>
          <w:sz w:val="20"/>
          <w:szCs w:val="20"/>
        </w:rPr>
      </w:pPr>
      <w:r w:rsidRPr="005528F5">
        <w:rPr>
          <w:rFonts w:ascii="Arial" w:hAnsi="Arial" w:cs="Arial"/>
          <w:color w:val="1F497D"/>
          <w:szCs w:val="20"/>
        </w:rPr>
        <w:t>Individuazione e correzione della sotto-dichiarazione</w:t>
      </w:r>
    </w:p>
    <w:p w:rsidR="00A549BF" w:rsidRPr="008E0407" w:rsidRDefault="00A549BF" w:rsidP="00A549BF">
      <w:pPr>
        <w:pStyle w:val="Nessunaspaziatura"/>
        <w:spacing w:after="120"/>
        <w:jc w:val="both"/>
        <w:rPr>
          <w:rFonts w:ascii="Arial" w:hAnsi="Arial" w:cs="Arial"/>
          <w:sz w:val="20"/>
          <w:szCs w:val="20"/>
        </w:rPr>
      </w:pPr>
      <w:r>
        <w:rPr>
          <w:rFonts w:ascii="Arial" w:hAnsi="Arial" w:cs="Arial"/>
          <w:sz w:val="20"/>
          <w:szCs w:val="20"/>
        </w:rPr>
        <w:t>L’</w:t>
      </w:r>
      <w:r w:rsidRPr="008E0407">
        <w:rPr>
          <w:rFonts w:ascii="Arial" w:hAnsi="Arial" w:cs="Arial"/>
          <w:sz w:val="20"/>
          <w:szCs w:val="20"/>
        </w:rPr>
        <w:t xml:space="preserve">individuazione e correzione della sotto-dichiarazione </w:t>
      </w:r>
      <w:r>
        <w:rPr>
          <w:rFonts w:ascii="Arial" w:hAnsi="Arial" w:cs="Arial"/>
          <w:sz w:val="20"/>
          <w:szCs w:val="20"/>
        </w:rPr>
        <w:t>è effettuata con due diversi metodi per le unità di dimensione minima e per gli altri gruppi, rispettivamente.</w:t>
      </w:r>
    </w:p>
    <w:p w:rsidR="00A549BF" w:rsidRPr="008E0407" w:rsidRDefault="00A549BF" w:rsidP="00A549BF">
      <w:pPr>
        <w:pStyle w:val="Nessunaspaziatura"/>
        <w:spacing w:after="120"/>
        <w:jc w:val="both"/>
        <w:rPr>
          <w:rFonts w:ascii="Arial" w:hAnsi="Arial" w:cs="Arial"/>
          <w:sz w:val="20"/>
          <w:szCs w:val="20"/>
        </w:rPr>
      </w:pPr>
      <w:r w:rsidRPr="008E0407">
        <w:rPr>
          <w:rFonts w:ascii="Arial" w:hAnsi="Arial" w:cs="Arial"/>
          <w:sz w:val="20"/>
          <w:szCs w:val="20"/>
        </w:rPr>
        <w:t xml:space="preserve">All’interno delle </w:t>
      </w:r>
      <w:r w:rsidRPr="008E0407">
        <w:rPr>
          <w:rFonts w:ascii="Arial" w:hAnsi="Arial" w:cs="Arial"/>
          <w:i/>
          <w:sz w:val="20"/>
          <w:szCs w:val="20"/>
        </w:rPr>
        <w:t>unità di dimensione minima</w:t>
      </w:r>
      <w:r>
        <w:rPr>
          <w:rFonts w:ascii="Arial" w:hAnsi="Arial" w:cs="Arial"/>
          <w:sz w:val="20"/>
          <w:szCs w:val="20"/>
        </w:rPr>
        <w:t xml:space="preserve">, </w:t>
      </w:r>
      <w:r w:rsidRPr="008E0407">
        <w:rPr>
          <w:rFonts w:ascii="Arial" w:hAnsi="Arial" w:cs="Arial"/>
          <w:sz w:val="20"/>
          <w:szCs w:val="20"/>
        </w:rPr>
        <w:t>le imprese sotto-dichiaranti sono individuate sulla base del confronto fra reddito d’impresa e una misura di costo opportunità definita in termini di reddito da lavoro dipendente</w:t>
      </w:r>
      <w:r>
        <w:rPr>
          <w:rFonts w:ascii="Arial" w:hAnsi="Arial" w:cs="Arial"/>
          <w:sz w:val="20"/>
          <w:szCs w:val="20"/>
        </w:rPr>
        <w:t>.</w:t>
      </w:r>
      <w:r w:rsidR="00710108">
        <w:rPr>
          <w:rFonts w:ascii="Arial" w:hAnsi="Arial" w:cs="Arial"/>
          <w:sz w:val="20"/>
          <w:szCs w:val="20"/>
        </w:rPr>
        <w:t xml:space="preserve"> </w:t>
      </w:r>
      <w:r>
        <w:rPr>
          <w:rFonts w:ascii="Arial" w:hAnsi="Arial" w:cs="Arial"/>
          <w:sz w:val="20"/>
          <w:szCs w:val="20"/>
        </w:rPr>
        <w:t>I</w:t>
      </w:r>
      <w:r w:rsidRPr="008E0407">
        <w:rPr>
          <w:rFonts w:ascii="Arial" w:hAnsi="Arial" w:cs="Arial"/>
          <w:sz w:val="20"/>
          <w:szCs w:val="20"/>
        </w:rPr>
        <w:t xml:space="preserve">l valore aggiunto è poi rivalutato in misura pari alla differenza fra le due grandezze. </w:t>
      </w:r>
    </w:p>
    <w:p w:rsidR="00A549BF" w:rsidRDefault="00A549BF" w:rsidP="00A549BF">
      <w:pPr>
        <w:pStyle w:val="Nessunaspaziatura"/>
        <w:spacing w:after="120"/>
        <w:jc w:val="both"/>
        <w:rPr>
          <w:rFonts w:ascii="Arial" w:hAnsi="Arial" w:cs="Arial"/>
          <w:sz w:val="20"/>
          <w:szCs w:val="20"/>
        </w:rPr>
      </w:pPr>
      <w:r>
        <w:rPr>
          <w:rFonts w:ascii="Arial" w:hAnsi="Arial" w:cs="Arial"/>
          <w:sz w:val="20"/>
          <w:szCs w:val="20"/>
        </w:rPr>
        <w:t xml:space="preserve">La definizione del reddito ombra </w:t>
      </w:r>
      <w:r w:rsidRPr="008E0407">
        <w:rPr>
          <w:rFonts w:ascii="Arial" w:hAnsi="Arial" w:cs="Arial"/>
          <w:sz w:val="20"/>
          <w:szCs w:val="20"/>
        </w:rPr>
        <w:t xml:space="preserve">si basa </w:t>
      </w:r>
      <w:r>
        <w:rPr>
          <w:rFonts w:ascii="Arial" w:hAnsi="Arial" w:cs="Arial"/>
          <w:sz w:val="20"/>
          <w:szCs w:val="20"/>
        </w:rPr>
        <w:t xml:space="preserve">sull’insieme </w:t>
      </w:r>
      <w:r w:rsidRPr="008E0407">
        <w:rPr>
          <w:rFonts w:ascii="Arial" w:hAnsi="Arial" w:cs="Arial"/>
          <w:sz w:val="20"/>
          <w:szCs w:val="20"/>
        </w:rPr>
        <w:t xml:space="preserve">informativo </w:t>
      </w:r>
      <w:r>
        <w:rPr>
          <w:rFonts w:ascii="Arial" w:hAnsi="Arial" w:cs="Arial"/>
          <w:sz w:val="20"/>
          <w:szCs w:val="20"/>
        </w:rPr>
        <w:t>contenuto nel</w:t>
      </w:r>
      <w:r w:rsidRPr="008E0407">
        <w:rPr>
          <w:rFonts w:ascii="Arial" w:hAnsi="Arial" w:cs="Arial"/>
          <w:sz w:val="20"/>
          <w:szCs w:val="20"/>
        </w:rPr>
        <w:t>la base di dati Inps-Emens sulle retribuzioni dei dipendenti</w:t>
      </w:r>
      <w:r>
        <w:rPr>
          <w:rFonts w:ascii="Arial" w:hAnsi="Arial" w:cs="Arial"/>
          <w:sz w:val="20"/>
          <w:szCs w:val="20"/>
        </w:rPr>
        <w:t xml:space="preserve"> per qualifica. Il confronto fra il reddito ombra e il reddito di impresa è effettuato all’interno di domini generati da </w:t>
      </w:r>
      <w:r w:rsidRPr="008E0407">
        <w:rPr>
          <w:rFonts w:ascii="Arial" w:hAnsi="Arial" w:cs="Arial"/>
          <w:sz w:val="20"/>
          <w:szCs w:val="20"/>
        </w:rPr>
        <w:t xml:space="preserve">una stratificazione ottimale basata su alberi di regressione. </w:t>
      </w:r>
      <w:r>
        <w:rPr>
          <w:rFonts w:ascii="Arial" w:hAnsi="Arial" w:cs="Arial"/>
          <w:sz w:val="20"/>
          <w:szCs w:val="20"/>
        </w:rPr>
        <w:t xml:space="preserve">Questo </w:t>
      </w:r>
      <w:r w:rsidRPr="008E0407">
        <w:rPr>
          <w:rFonts w:ascii="Arial" w:hAnsi="Arial" w:cs="Arial"/>
          <w:sz w:val="20"/>
          <w:szCs w:val="20"/>
        </w:rPr>
        <w:t xml:space="preserve">metodo consente di determinare gli strati della popolazione (in termini di settore, territorialità, caratteristiche strutturali delle imprese) in modo da garantire la maggiore omogeneità possibile nel comportamento della variabile obiettivo (in questo caso il costo del lavoro quale variabile di approssimazione del reddito da lavoro dipendente). </w:t>
      </w:r>
    </w:p>
    <w:p w:rsidR="00A549BF" w:rsidRDefault="00A549BF" w:rsidP="00A549BF">
      <w:pPr>
        <w:pStyle w:val="Nessunaspaziatura"/>
        <w:spacing w:after="120"/>
        <w:jc w:val="both"/>
        <w:rPr>
          <w:rFonts w:ascii="Arial" w:hAnsi="Arial" w:cs="Arial"/>
          <w:sz w:val="20"/>
          <w:szCs w:val="20"/>
        </w:rPr>
      </w:pPr>
      <w:r w:rsidRPr="008E0407">
        <w:rPr>
          <w:rFonts w:ascii="Arial" w:hAnsi="Arial" w:cs="Arial"/>
          <w:sz w:val="20"/>
          <w:szCs w:val="20"/>
        </w:rPr>
        <w:t xml:space="preserve">Per le unità di dimensione minima con minore capacità di produrre reddito (secondo sottogruppo), la procedura prevede l’individuazione e la correzione della sotto-dichiarazione sulla base del confronto fra il reddito dell’imprenditore e il reddito ombra per ognuno degli strati ottenuti tramite gli alberi di regressione. Per quelle con maggiore capacità di produrre reddito (terzo sottogruppo), il calcolo del reddito ombra per ognuno degli strati incorpora un </w:t>
      </w:r>
      <w:r>
        <w:rPr>
          <w:rFonts w:ascii="Arial" w:hAnsi="Arial" w:cs="Arial"/>
          <w:sz w:val="20"/>
          <w:szCs w:val="20"/>
        </w:rPr>
        <w:t>coefficiente di modulazione che tiene conto del</w:t>
      </w:r>
      <w:r w:rsidR="00433E22">
        <w:rPr>
          <w:rFonts w:ascii="Arial" w:hAnsi="Arial" w:cs="Arial"/>
          <w:sz w:val="20"/>
          <w:szCs w:val="20"/>
        </w:rPr>
        <w:t xml:space="preserve">le condizioni </w:t>
      </w:r>
      <w:r>
        <w:rPr>
          <w:rFonts w:ascii="Arial" w:hAnsi="Arial" w:cs="Arial"/>
          <w:sz w:val="20"/>
          <w:szCs w:val="20"/>
        </w:rPr>
        <w:t>economic</w:t>
      </w:r>
      <w:r w:rsidR="00433E22">
        <w:rPr>
          <w:rFonts w:ascii="Arial" w:hAnsi="Arial" w:cs="Arial"/>
          <w:sz w:val="20"/>
          <w:szCs w:val="20"/>
        </w:rPr>
        <w:t>he del settore</w:t>
      </w:r>
      <w:r>
        <w:rPr>
          <w:rFonts w:ascii="Arial" w:hAnsi="Arial" w:cs="Arial"/>
          <w:sz w:val="20"/>
          <w:szCs w:val="20"/>
        </w:rPr>
        <w:t>, in modo da evitare un comportamento forzatamente anticiclico della correzione determinato dalla diversa reattività del reddito imprenditoriale e del costo del lavoro rispetto all’andamento del</w:t>
      </w:r>
      <w:r w:rsidR="00433E22">
        <w:rPr>
          <w:rFonts w:ascii="Arial" w:hAnsi="Arial" w:cs="Arial"/>
          <w:sz w:val="20"/>
          <w:szCs w:val="20"/>
        </w:rPr>
        <w:t>l’attività</w:t>
      </w:r>
      <w:r>
        <w:rPr>
          <w:rFonts w:ascii="Arial" w:hAnsi="Arial" w:cs="Arial"/>
          <w:sz w:val="20"/>
          <w:szCs w:val="20"/>
        </w:rPr>
        <w:t>.</w:t>
      </w:r>
    </w:p>
    <w:p w:rsidR="00A549BF" w:rsidRPr="008E0407" w:rsidRDefault="00A549BF" w:rsidP="00A549BF">
      <w:pPr>
        <w:pStyle w:val="Nessunaspaziatura"/>
        <w:spacing w:after="120"/>
        <w:jc w:val="both"/>
        <w:rPr>
          <w:rFonts w:ascii="Arial" w:hAnsi="Arial" w:cs="Arial"/>
          <w:sz w:val="20"/>
          <w:szCs w:val="20"/>
        </w:rPr>
      </w:pPr>
      <w:r>
        <w:rPr>
          <w:rFonts w:ascii="Arial" w:hAnsi="Arial" w:cs="Arial"/>
          <w:sz w:val="20"/>
          <w:szCs w:val="20"/>
        </w:rPr>
        <w:t>Per tutte le altre tipologie di imprese(</w:t>
      </w:r>
      <w:r w:rsidRPr="008E0407">
        <w:rPr>
          <w:rFonts w:ascii="Arial" w:hAnsi="Arial" w:cs="Arial"/>
          <w:i/>
          <w:sz w:val="20"/>
          <w:szCs w:val="20"/>
        </w:rPr>
        <w:t>unità micro</w:t>
      </w:r>
      <w:r>
        <w:rPr>
          <w:rFonts w:ascii="Arial" w:hAnsi="Arial" w:cs="Arial"/>
          <w:i/>
          <w:sz w:val="20"/>
          <w:szCs w:val="20"/>
        </w:rPr>
        <w:t>, unità organizzate, unità appartenenti a gruppi domestici</w:t>
      </w:r>
      <w:r w:rsidRPr="005528F5">
        <w:rPr>
          <w:rFonts w:ascii="Arial" w:hAnsi="Arial" w:cs="Arial"/>
          <w:sz w:val="20"/>
        </w:rPr>
        <w:t>)</w:t>
      </w:r>
      <w:r>
        <w:rPr>
          <w:rFonts w:ascii="Arial" w:hAnsi="Arial" w:cs="Arial"/>
          <w:sz w:val="20"/>
          <w:szCs w:val="20"/>
        </w:rPr>
        <w:t>,</w:t>
      </w:r>
      <w:r w:rsidRPr="008E0407">
        <w:rPr>
          <w:rFonts w:ascii="Arial" w:hAnsi="Arial" w:cs="Arial"/>
          <w:sz w:val="20"/>
          <w:szCs w:val="20"/>
        </w:rPr>
        <w:t xml:space="preserve"> la procedura </w:t>
      </w:r>
      <w:r>
        <w:rPr>
          <w:rFonts w:ascii="Arial" w:hAnsi="Arial" w:cs="Arial"/>
          <w:sz w:val="20"/>
          <w:szCs w:val="20"/>
        </w:rPr>
        <w:t xml:space="preserve">si basa sull’applicazione, a livello individuale all’interno di strati omogenei (in termini di attività </w:t>
      </w:r>
      <w:r>
        <w:rPr>
          <w:rFonts w:ascii="Arial" w:hAnsi="Arial" w:cs="Arial"/>
          <w:sz w:val="20"/>
          <w:szCs w:val="20"/>
        </w:rPr>
        <w:lastRenderedPageBreak/>
        <w:t>economica, classe d’addetti e territorio), dell’analisi ROC</w:t>
      </w:r>
      <w:r w:rsidR="003868DB">
        <w:rPr>
          <w:rStyle w:val="Rimandonotaapidipagina"/>
          <w:rFonts w:ascii="Arial" w:hAnsi="Arial" w:cs="Arial"/>
          <w:sz w:val="20"/>
          <w:szCs w:val="20"/>
        </w:rPr>
        <w:footnoteReference w:id="6"/>
      </w:r>
      <w:r>
        <w:rPr>
          <w:rFonts w:ascii="Arial" w:hAnsi="Arial" w:cs="Arial"/>
          <w:sz w:val="20"/>
          <w:szCs w:val="20"/>
        </w:rPr>
        <w:t xml:space="preserve"> a un indicatore composito – costruito a partire da un insieme di indicatori di struttura, costi e performance – che consente di profilare il comportamento economico delle imprese.  Il modello di stima, dunque, consente di cogliere tutte le condizioni di contesto, cicliche e strutturali in cui l’impresa opera.</w:t>
      </w:r>
    </w:p>
    <w:p w:rsidR="00A549BF" w:rsidRDefault="00A549BF" w:rsidP="00A549BF">
      <w:pPr>
        <w:pStyle w:val="Nessunaspaziatura"/>
        <w:spacing w:after="120"/>
        <w:jc w:val="both"/>
        <w:rPr>
          <w:rFonts w:ascii="Arial" w:hAnsi="Arial" w:cs="Arial"/>
          <w:sz w:val="20"/>
          <w:szCs w:val="20"/>
        </w:rPr>
      </w:pPr>
      <w:r>
        <w:rPr>
          <w:rFonts w:ascii="Arial" w:hAnsi="Arial" w:cs="Arial"/>
          <w:sz w:val="20"/>
          <w:szCs w:val="20"/>
        </w:rPr>
        <w:t xml:space="preserve">Il metodo si compone di due fasi, quella di individuazione e quella di correzione. </w:t>
      </w:r>
      <w:r w:rsidRPr="008E0407">
        <w:rPr>
          <w:rFonts w:ascii="Arial" w:hAnsi="Arial" w:cs="Arial"/>
          <w:sz w:val="20"/>
          <w:szCs w:val="20"/>
        </w:rPr>
        <w:t>L</w:t>
      </w:r>
      <w:r>
        <w:rPr>
          <w:rFonts w:ascii="Arial" w:hAnsi="Arial" w:cs="Arial"/>
          <w:sz w:val="20"/>
          <w:szCs w:val="20"/>
        </w:rPr>
        <w:t xml:space="preserve">’individuazione </w:t>
      </w:r>
      <w:r w:rsidRPr="008E0407">
        <w:rPr>
          <w:rFonts w:ascii="Arial" w:hAnsi="Arial" w:cs="Arial"/>
          <w:sz w:val="20"/>
          <w:szCs w:val="20"/>
        </w:rPr>
        <w:t xml:space="preserve">delle imprese sotto-dichiaranti è condotta a partire da un insieme di indicatori di bilancio che vengono sintetizzati tramite un’analisi fattoriale (applicata su una griglia di stratificazione della popolazione sia settoriale sia territoriale) e successivamente aggregati in un indicatore composito. La stima di un modello logistico e la relativa analisi </w:t>
      </w:r>
      <w:r>
        <w:rPr>
          <w:rFonts w:ascii="Arial" w:hAnsi="Arial" w:cs="Arial"/>
          <w:sz w:val="20"/>
          <w:szCs w:val="20"/>
        </w:rPr>
        <w:t xml:space="preserve">ROC </w:t>
      </w:r>
      <w:r w:rsidRPr="008E0407">
        <w:rPr>
          <w:rFonts w:ascii="Arial" w:hAnsi="Arial" w:cs="Arial"/>
          <w:sz w:val="20"/>
          <w:szCs w:val="20"/>
        </w:rPr>
        <w:t xml:space="preserve">consentono di definire un punto di </w:t>
      </w:r>
      <w:r w:rsidRPr="008E0407">
        <w:rPr>
          <w:rFonts w:ascii="Arial" w:hAnsi="Arial" w:cs="Arial"/>
          <w:i/>
          <w:sz w:val="20"/>
          <w:szCs w:val="20"/>
        </w:rPr>
        <w:t>cut-off</w:t>
      </w:r>
      <w:r w:rsidRPr="008E0407">
        <w:rPr>
          <w:rFonts w:ascii="Arial" w:hAnsi="Arial" w:cs="Arial"/>
          <w:sz w:val="20"/>
          <w:szCs w:val="20"/>
        </w:rPr>
        <w:t xml:space="preserve"> che discrimina le unità in sotto-dichiaranti e non. </w:t>
      </w:r>
    </w:p>
    <w:p w:rsidR="00A549BF" w:rsidRPr="008E0407" w:rsidRDefault="00A549BF" w:rsidP="00A549BF">
      <w:pPr>
        <w:pStyle w:val="Nessunaspaziatura"/>
        <w:spacing w:after="120"/>
        <w:jc w:val="both"/>
        <w:rPr>
          <w:rFonts w:ascii="Arial" w:hAnsi="Arial" w:cs="Arial"/>
          <w:sz w:val="20"/>
          <w:szCs w:val="20"/>
        </w:rPr>
      </w:pPr>
      <w:r>
        <w:rPr>
          <w:rFonts w:ascii="Arial" w:hAnsi="Arial" w:cs="Arial"/>
          <w:sz w:val="20"/>
          <w:szCs w:val="20"/>
        </w:rPr>
        <w:t>La</w:t>
      </w:r>
      <w:r w:rsidRPr="008E0407">
        <w:rPr>
          <w:rFonts w:ascii="Arial" w:hAnsi="Arial" w:cs="Arial"/>
          <w:sz w:val="20"/>
          <w:szCs w:val="20"/>
        </w:rPr>
        <w:t xml:space="preserve"> correzione, </w:t>
      </w:r>
      <w:r>
        <w:rPr>
          <w:rFonts w:ascii="Arial" w:hAnsi="Arial" w:cs="Arial"/>
          <w:sz w:val="20"/>
          <w:szCs w:val="20"/>
        </w:rPr>
        <w:t xml:space="preserve">che consente di </w:t>
      </w:r>
      <w:r w:rsidRPr="008E0407">
        <w:rPr>
          <w:rFonts w:ascii="Arial" w:hAnsi="Arial" w:cs="Arial"/>
          <w:sz w:val="20"/>
          <w:szCs w:val="20"/>
        </w:rPr>
        <w:t>determinare l’ammontare di valore aggiunto non dichiarato</w:t>
      </w:r>
      <w:r>
        <w:rPr>
          <w:rFonts w:ascii="Arial" w:hAnsi="Arial" w:cs="Arial"/>
          <w:sz w:val="20"/>
          <w:szCs w:val="20"/>
        </w:rPr>
        <w:t>, viene ottenuta con una procedura in due fasi. Nella prima</w:t>
      </w:r>
      <w:r w:rsidRPr="008E0407">
        <w:rPr>
          <w:rFonts w:ascii="Arial" w:hAnsi="Arial" w:cs="Arial"/>
          <w:sz w:val="20"/>
          <w:szCs w:val="20"/>
        </w:rPr>
        <w:t>, si estrapola il livello del valore aggiunto per addetto (che è uno degli indicatori elementari che costituiscono l’indicatore composito) in modo che il valore dell’indicatore composito sia al livello coerente con la condizione di non sotto-dichiarazione. Nel</w:t>
      </w:r>
      <w:r>
        <w:rPr>
          <w:rFonts w:ascii="Arial" w:hAnsi="Arial" w:cs="Arial"/>
          <w:sz w:val="20"/>
          <w:szCs w:val="20"/>
        </w:rPr>
        <w:t>la</w:t>
      </w:r>
      <w:r w:rsidRPr="008E0407">
        <w:rPr>
          <w:rFonts w:ascii="Arial" w:hAnsi="Arial" w:cs="Arial"/>
          <w:sz w:val="20"/>
          <w:szCs w:val="20"/>
        </w:rPr>
        <w:t xml:space="preserve"> second</w:t>
      </w:r>
      <w:r>
        <w:rPr>
          <w:rFonts w:ascii="Arial" w:hAnsi="Arial" w:cs="Arial"/>
          <w:sz w:val="20"/>
          <w:szCs w:val="20"/>
        </w:rPr>
        <w:t>a</w:t>
      </w:r>
      <w:r w:rsidRPr="008E0407">
        <w:rPr>
          <w:rFonts w:ascii="Arial" w:hAnsi="Arial" w:cs="Arial"/>
          <w:sz w:val="20"/>
          <w:szCs w:val="20"/>
        </w:rPr>
        <w:t>, l’entità della rivalutazi</w:t>
      </w:r>
      <w:r>
        <w:rPr>
          <w:rFonts w:ascii="Arial" w:hAnsi="Arial" w:cs="Arial"/>
          <w:sz w:val="20"/>
          <w:szCs w:val="20"/>
        </w:rPr>
        <w:t>one viene definita assegnando a</w:t>
      </w:r>
      <w:r w:rsidRPr="008E0407">
        <w:rPr>
          <w:rFonts w:ascii="Arial" w:hAnsi="Arial" w:cs="Arial"/>
          <w:sz w:val="20"/>
          <w:szCs w:val="20"/>
        </w:rPr>
        <w:t xml:space="preserve"> ogni addetto dell’impresa la differenza fra la </w:t>
      </w:r>
      <w:r>
        <w:rPr>
          <w:rFonts w:ascii="Arial" w:hAnsi="Arial" w:cs="Arial"/>
          <w:sz w:val="20"/>
          <w:szCs w:val="20"/>
        </w:rPr>
        <w:t>produttività del lavoro</w:t>
      </w:r>
      <w:r w:rsidRPr="008E0407">
        <w:rPr>
          <w:rFonts w:ascii="Arial" w:hAnsi="Arial" w:cs="Arial"/>
          <w:sz w:val="20"/>
          <w:szCs w:val="20"/>
        </w:rPr>
        <w:t xml:space="preserve"> iniziale e quella corretta. In questo modo, la correzione dipende non solo dalla distanza fra il valore dell’indicatore compo</w:t>
      </w:r>
      <w:r>
        <w:rPr>
          <w:rFonts w:ascii="Arial" w:hAnsi="Arial" w:cs="Arial"/>
          <w:sz w:val="20"/>
          <w:szCs w:val="20"/>
        </w:rPr>
        <w:t>sito riscontrato nell’impresa e</w:t>
      </w:r>
      <w:r w:rsidRPr="008E0407">
        <w:rPr>
          <w:rFonts w:ascii="Arial" w:hAnsi="Arial" w:cs="Arial"/>
          <w:sz w:val="20"/>
          <w:szCs w:val="20"/>
        </w:rPr>
        <w:t xml:space="preserve"> il livello del </w:t>
      </w:r>
      <w:r w:rsidRPr="008E0407">
        <w:rPr>
          <w:rFonts w:ascii="Arial" w:hAnsi="Arial" w:cs="Arial"/>
          <w:i/>
          <w:sz w:val="20"/>
          <w:szCs w:val="20"/>
        </w:rPr>
        <w:t xml:space="preserve">cut-off </w:t>
      </w:r>
      <w:r w:rsidRPr="008E0407">
        <w:rPr>
          <w:rFonts w:ascii="Arial" w:hAnsi="Arial" w:cs="Arial"/>
          <w:sz w:val="20"/>
          <w:szCs w:val="20"/>
        </w:rPr>
        <w:t>(interpretabile come una distanza dalla normalità economica definita dal modello)</w:t>
      </w:r>
      <w:r w:rsidRPr="008E0407">
        <w:rPr>
          <w:rFonts w:ascii="Arial" w:hAnsi="Arial" w:cs="Arial"/>
          <w:i/>
          <w:sz w:val="20"/>
          <w:szCs w:val="20"/>
        </w:rPr>
        <w:t>,</w:t>
      </w:r>
      <w:r w:rsidRPr="008E0407">
        <w:rPr>
          <w:rFonts w:ascii="Arial" w:hAnsi="Arial" w:cs="Arial"/>
          <w:sz w:val="20"/>
          <w:szCs w:val="20"/>
        </w:rPr>
        <w:t xml:space="preserve"> ma anche dall’importanza relativa del valore aggiunto per addetto all’interno della struttura degli indicatori (ovvero, dal profilo economico-strutturale dell’impresa).</w:t>
      </w:r>
    </w:p>
    <w:p w:rsidR="00A549BF" w:rsidRPr="008E0407" w:rsidRDefault="00A549BF" w:rsidP="00A549BF">
      <w:pPr>
        <w:pStyle w:val="Nessunaspaziatura"/>
        <w:spacing w:after="120"/>
        <w:jc w:val="both"/>
        <w:rPr>
          <w:rFonts w:ascii="Arial" w:hAnsi="Arial" w:cs="Arial"/>
          <w:sz w:val="20"/>
          <w:szCs w:val="20"/>
        </w:rPr>
      </w:pPr>
    </w:p>
    <w:p w:rsidR="00A549BF" w:rsidRPr="005528F5" w:rsidRDefault="00A549BF" w:rsidP="00A549BF">
      <w:pPr>
        <w:pStyle w:val="Nessunaspaziatura"/>
        <w:spacing w:after="120"/>
        <w:jc w:val="both"/>
        <w:rPr>
          <w:rFonts w:ascii="Arial" w:hAnsi="Arial" w:cs="Arial"/>
          <w:b/>
          <w:color w:val="1F497D"/>
          <w:szCs w:val="20"/>
        </w:rPr>
      </w:pPr>
      <w:r w:rsidRPr="005528F5">
        <w:rPr>
          <w:rFonts w:ascii="Arial" w:hAnsi="Arial" w:cs="Arial"/>
          <w:b/>
          <w:color w:val="1F497D"/>
          <w:szCs w:val="20"/>
        </w:rPr>
        <w:t xml:space="preserve">Il valore aggiunto </w:t>
      </w:r>
      <w:r>
        <w:rPr>
          <w:rFonts w:ascii="Arial" w:hAnsi="Arial" w:cs="Arial"/>
          <w:b/>
          <w:color w:val="1F497D"/>
          <w:szCs w:val="20"/>
        </w:rPr>
        <w:t xml:space="preserve">generato dall’impiego di </w:t>
      </w:r>
      <w:r w:rsidRPr="005528F5">
        <w:rPr>
          <w:rFonts w:ascii="Arial" w:hAnsi="Arial" w:cs="Arial"/>
          <w:b/>
          <w:color w:val="1F497D"/>
          <w:szCs w:val="20"/>
        </w:rPr>
        <w:t>lavoro irregolare</w:t>
      </w:r>
    </w:p>
    <w:p w:rsidR="00A549BF" w:rsidRDefault="00A549BF" w:rsidP="00A549BF">
      <w:pPr>
        <w:pStyle w:val="Nessunaspaziatura"/>
        <w:spacing w:after="120"/>
        <w:jc w:val="both"/>
        <w:rPr>
          <w:rFonts w:ascii="Arial" w:hAnsi="Arial" w:cs="Arial"/>
          <w:sz w:val="20"/>
          <w:szCs w:val="20"/>
          <w:lang w:eastAsia="it-IT"/>
        </w:rPr>
      </w:pPr>
      <w:r w:rsidRPr="008E0407">
        <w:rPr>
          <w:rFonts w:ascii="Arial" w:hAnsi="Arial" w:cs="Arial"/>
          <w:sz w:val="20"/>
          <w:szCs w:val="20"/>
          <w:lang w:eastAsia="it-IT"/>
        </w:rPr>
        <w:t xml:space="preserve">Differentemente da quanto accade per la componente </w:t>
      </w:r>
      <w:r>
        <w:rPr>
          <w:rFonts w:ascii="Arial" w:hAnsi="Arial" w:cs="Arial"/>
          <w:sz w:val="20"/>
          <w:szCs w:val="20"/>
          <w:lang w:eastAsia="it-IT"/>
        </w:rPr>
        <w:t>di sommerso economico derivante dalla</w:t>
      </w:r>
      <w:r w:rsidRPr="008E0407">
        <w:rPr>
          <w:rFonts w:ascii="Arial" w:hAnsi="Arial" w:cs="Arial"/>
          <w:sz w:val="20"/>
          <w:szCs w:val="20"/>
          <w:lang w:eastAsia="it-IT"/>
        </w:rPr>
        <w:t xml:space="preserve"> sotto-dichiarazione </w:t>
      </w:r>
      <w:r>
        <w:rPr>
          <w:rFonts w:ascii="Arial" w:hAnsi="Arial" w:cs="Arial"/>
          <w:sz w:val="20"/>
          <w:szCs w:val="20"/>
          <w:lang w:eastAsia="it-IT"/>
        </w:rPr>
        <w:t>del valore aggiunto</w:t>
      </w:r>
      <w:r w:rsidRPr="008E0407">
        <w:rPr>
          <w:rFonts w:ascii="Arial" w:hAnsi="Arial" w:cs="Arial"/>
          <w:sz w:val="20"/>
          <w:szCs w:val="20"/>
          <w:lang w:eastAsia="it-IT"/>
        </w:rPr>
        <w:t xml:space="preserve">, le informazioni disponibili </w:t>
      </w:r>
      <w:r>
        <w:rPr>
          <w:rFonts w:ascii="Arial" w:hAnsi="Arial" w:cs="Arial"/>
          <w:sz w:val="20"/>
          <w:szCs w:val="20"/>
          <w:lang w:eastAsia="it-IT"/>
        </w:rPr>
        <w:t xml:space="preserve">e i modelli utilizzati per misurare il valore aggiunto da lavoro irregolare </w:t>
      </w:r>
      <w:r w:rsidRPr="008E0407">
        <w:rPr>
          <w:rFonts w:ascii="Arial" w:hAnsi="Arial" w:cs="Arial"/>
          <w:sz w:val="20"/>
          <w:szCs w:val="20"/>
          <w:lang w:eastAsia="it-IT"/>
        </w:rPr>
        <w:t xml:space="preserve">non consentono </w:t>
      </w:r>
      <w:r>
        <w:rPr>
          <w:rFonts w:ascii="Arial" w:hAnsi="Arial" w:cs="Arial"/>
          <w:sz w:val="20"/>
          <w:szCs w:val="20"/>
          <w:lang w:eastAsia="it-IT"/>
        </w:rPr>
        <w:t xml:space="preserve">di ricondurre tali informazioni all’attività delle singole unità produttive. </w:t>
      </w:r>
      <w:r w:rsidRPr="008E0407">
        <w:rPr>
          <w:rFonts w:ascii="Arial" w:hAnsi="Arial" w:cs="Arial"/>
          <w:sz w:val="20"/>
          <w:szCs w:val="20"/>
          <w:lang w:eastAsia="it-IT"/>
        </w:rPr>
        <w:t>L</w:t>
      </w:r>
      <w:r>
        <w:rPr>
          <w:rFonts w:ascii="Arial" w:hAnsi="Arial" w:cs="Arial"/>
          <w:sz w:val="20"/>
          <w:szCs w:val="20"/>
          <w:lang w:eastAsia="it-IT"/>
        </w:rPr>
        <w:t xml:space="preserve">a stima </w:t>
      </w:r>
      <w:r w:rsidRPr="008E0407">
        <w:rPr>
          <w:rFonts w:ascii="Arial" w:hAnsi="Arial" w:cs="Arial"/>
          <w:sz w:val="20"/>
          <w:szCs w:val="20"/>
          <w:lang w:eastAsia="it-IT"/>
        </w:rPr>
        <w:t xml:space="preserve">è dunque effettuata per dominio </w:t>
      </w:r>
      <w:r>
        <w:rPr>
          <w:rFonts w:ascii="Arial" w:hAnsi="Arial" w:cs="Arial"/>
          <w:sz w:val="20"/>
          <w:szCs w:val="20"/>
          <w:lang w:eastAsia="it-IT"/>
        </w:rPr>
        <w:t>(attività economica e classe dimensionale) sulla base dell’input di lavoro irregolare dipendente e indipendente.</w:t>
      </w:r>
    </w:p>
    <w:p w:rsidR="00A549BF" w:rsidRPr="005528F5" w:rsidRDefault="00A549BF" w:rsidP="00A549BF">
      <w:pPr>
        <w:pStyle w:val="Nessunaspaziatura"/>
        <w:spacing w:after="120"/>
        <w:jc w:val="both"/>
      </w:pPr>
    </w:p>
    <w:p w:rsidR="00A549BF" w:rsidRPr="005528F5" w:rsidRDefault="00A549BF" w:rsidP="00A549BF">
      <w:pPr>
        <w:spacing w:after="120"/>
        <w:jc w:val="both"/>
        <w:rPr>
          <w:rFonts w:ascii="Arial" w:hAnsi="Arial" w:cs="Arial"/>
          <w:color w:val="1F497D"/>
          <w:sz w:val="22"/>
        </w:rPr>
      </w:pPr>
      <w:r w:rsidRPr="005528F5">
        <w:rPr>
          <w:rFonts w:ascii="Arial" w:hAnsi="Arial" w:cs="Arial"/>
          <w:color w:val="1F497D"/>
          <w:sz w:val="22"/>
        </w:rPr>
        <w:t xml:space="preserve">La stima dell’input di lavoro non regolare </w:t>
      </w:r>
    </w:p>
    <w:p w:rsidR="00A549BF" w:rsidRPr="00573105" w:rsidRDefault="00A549BF" w:rsidP="00A549BF">
      <w:pPr>
        <w:spacing w:after="120"/>
        <w:jc w:val="both"/>
        <w:rPr>
          <w:rFonts w:ascii="Arial" w:eastAsiaTheme="minorHAnsi" w:hAnsi="Arial" w:cs="Arial"/>
          <w:sz w:val="20"/>
          <w:lang w:eastAsia="en-US"/>
        </w:rPr>
      </w:pPr>
      <w:r w:rsidRPr="00573105">
        <w:rPr>
          <w:rFonts w:ascii="Arial" w:eastAsiaTheme="minorHAnsi" w:hAnsi="Arial" w:cs="Arial"/>
          <w:sz w:val="20"/>
          <w:lang w:eastAsia="en-US"/>
        </w:rPr>
        <w:t xml:space="preserve">Ai fini della misura del lavoro come fattore di produzione, il sistema europeo dei conti raccomanda di stimare l’input di lavoro espresso non solo in termini di occupati, ma anche di posizioni lavorative, ore effettivamente lavorate e unità di lavoro. </w:t>
      </w:r>
      <w:r>
        <w:rPr>
          <w:rFonts w:ascii="Arial" w:eastAsiaTheme="minorHAnsi" w:hAnsi="Arial" w:cs="Arial"/>
          <w:sz w:val="20"/>
          <w:lang w:eastAsia="en-US"/>
        </w:rPr>
        <w:t xml:space="preserve">Tale </w:t>
      </w:r>
      <w:r w:rsidRPr="00573105">
        <w:rPr>
          <w:rFonts w:ascii="Arial" w:eastAsiaTheme="minorHAnsi" w:hAnsi="Arial" w:cs="Arial"/>
          <w:sz w:val="20"/>
          <w:lang w:eastAsia="en-US"/>
        </w:rPr>
        <w:t>articolazione</w:t>
      </w:r>
      <w:r>
        <w:rPr>
          <w:rFonts w:ascii="Arial" w:eastAsiaTheme="minorHAnsi" w:hAnsi="Arial" w:cs="Arial"/>
          <w:sz w:val="20"/>
          <w:lang w:eastAsia="en-US"/>
        </w:rPr>
        <w:t xml:space="preserve"> consente di </w:t>
      </w:r>
      <w:r w:rsidRPr="00573105">
        <w:rPr>
          <w:rFonts w:ascii="Arial" w:eastAsiaTheme="minorHAnsi" w:hAnsi="Arial" w:cs="Arial"/>
          <w:sz w:val="20"/>
          <w:lang w:eastAsia="en-US"/>
        </w:rPr>
        <w:t xml:space="preserve">mettere in luce le diverse caratteristiche dell’input di lavoro e del suo contributo al funzionamento dell’economia. </w:t>
      </w:r>
      <w:r>
        <w:rPr>
          <w:rFonts w:ascii="Arial" w:eastAsiaTheme="minorHAnsi" w:hAnsi="Arial" w:cs="Arial"/>
          <w:sz w:val="20"/>
          <w:lang w:eastAsia="en-US"/>
        </w:rPr>
        <w:t>Sono</w:t>
      </w:r>
      <w:r w:rsidRPr="00573105">
        <w:rPr>
          <w:rFonts w:ascii="Arial" w:eastAsiaTheme="minorHAnsi" w:hAnsi="Arial" w:cs="Arial"/>
          <w:sz w:val="20"/>
          <w:lang w:eastAsia="en-US"/>
        </w:rPr>
        <w:t xml:space="preserve"> considera</w:t>
      </w:r>
      <w:r>
        <w:rPr>
          <w:rFonts w:ascii="Arial" w:eastAsiaTheme="minorHAnsi" w:hAnsi="Arial" w:cs="Arial"/>
          <w:sz w:val="20"/>
          <w:lang w:eastAsia="en-US"/>
        </w:rPr>
        <w:t>te</w:t>
      </w:r>
      <w:r w:rsidRPr="00573105">
        <w:rPr>
          <w:rFonts w:ascii="Arial" w:eastAsiaTheme="minorHAnsi" w:hAnsi="Arial" w:cs="Arial"/>
          <w:sz w:val="20"/>
          <w:lang w:eastAsia="en-US"/>
        </w:rPr>
        <w:t xml:space="preserve"> “regolari”, le prestazioni registrate dalle autorità fiscali-contributive e quindi direttamente osservabili a fini statistici (ad eccezione di specifici casi di assenza di obbligo di iscrizione in archivi amministrativi), mentre sono classificate come “non regolari” le prestazioni lavorative non direttamente osservabili a fini statistici poiché svolte violando la normativa in materia fiscale-contributiva o perché svolte nell’ambito delle attività illegali che rientrano ne</w:t>
      </w:r>
      <w:r>
        <w:rPr>
          <w:rFonts w:ascii="Arial" w:eastAsiaTheme="minorHAnsi" w:hAnsi="Arial" w:cs="Arial"/>
          <w:sz w:val="20"/>
          <w:lang w:eastAsia="en-US"/>
        </w:rPr>
        <w:t>i confini della produzione</w:t>
      </w:r>
      <w:r w:rsidR="00710108">
        <w:rPr>
          <w:rFonts w:ascii="Arial" w:eastAsiaTheme="minorHAnsi" w:hAnsi="Arial" w:cs="Arial"/>
          <w:sz w:val="20"/>
          <w:lang w:eastAsia="en-US"/>
        </w:rPr>
        <w:t xml:space="preserve"> </w:t>
      </w:r>
      <w:r>
        <w:rPr>
          <w:rFonts w:ascii="Arial" w:eastAsiaTheme="minorHAnsi" w:hAnsi="Arial" w:cs="Arial"/>
          <w:sz w:val="20"/>
          <w:lang w:eastAsia="en-US"/>
        </w:rPr>
        <w:t>secondo i regolamenti dei conti nazionali</w:t>
      </w:r>
      <w:r w:rsidRPr="00573105">
        <w:rPr>
          <w:rFonts w:ascii="Arial" w:eastAsiaTheme="minorHAnsi" w:hAnsi="Arial" w:cs="Arial"/>
          <w:sz w:val="20"/>
          <w:lang w:eastAsia="en-US"/>
        </w:rPr>
        <w:t xml:space="preserve">. </w:t>
      </w:r>
    </w:p>
    <w:p w:rsidR="00A549BF" w:rsidRPr="00573105" w:rsidRDefault="00A549BF" w:rsidP="00A549BF">
      <w:pPr>
        <w:spacing w:after="120"/>
        <w:jc w:val="both"/>
        <w:rPr>
          <w:rFonts w:ascii="Arial" w:eastAsiaTheme="minorHAnsi" w:hAnsi="Arial" w:cs="Arial"/>
          <w:sz w:val="20"/>
          <w:lang w:eastAsia="en-US"/>
        </w:rPr>
      </w:pPr>
      <w:r>
        <w:rPr>
          <w:rFonts w:ascii="Arial" w:eastAsiaTheme="minorHAnsi" w:hAnsi="Arial" w:cs="Arial"/>
          <w:sz w:val="20"/>
          <w:lang w:eastAsia="en-US"/>
        </w:rPr>
        <w:t>L</w:t>
      </w:r>
      <w:r w:rsidRPr="00573105">
        <w:rPr>
          <w:rFonts w:ascii="Arial" w:eastAsiaTheme="minorHAnsi" w:hAnsi="Arial" w:cs="Arial"/>
          <w:sz w:val="20"/>
          <w:lang w:eastAsia="en-US"/>
        </w:rPr>
        <w:t xml:space="preserve">a metodologia di stima dell’input di lavoro regolare e non regolare </w:t>
      </w:r>
      <w:r>
        <w:rPr>
          <w:rFonts w:ascii="Arial" w:eastAsiaTheme="minorHAnsi" w:hAnsi="Arial" w:cs="Arial"/>
          <w:sz w:val="20"/>
          <w:lang w:eastAsia="en-US"/>
        </w:rPr>
        <w:t xml:space="preserve">si </w:t>
      </w:r>
      <w:r w:rsidRPr="00573105">
        <w:rPr>
          <w:rFonts w:ascii="Arial" w:eastAsiaTheme="minorHAnsi" w:hAnsi="Arial" w:cs="Arial"/>
          <w:sz w:val="20"/>
          <w:lang w:eastAsia="en-US"/>
        </w:rPr>
        <w:t>basa sull’uso integrato di dati individuali da rilevazioni statistiche e amministrative</w:t>
      </w:r>
      <w:r>
        <w:rPr>
          <w:rFonts w:ascii="Arial" w:eastAsiaTheme="minorHAnsi" w:hAnsi="Arial" w:cs="Arial"/>
          <w:sz w:val="20"/>
          <w:lang w:eastAsia="en-US"/>
        </w:rPr>
        <w:t>. Le fonti sono regolarmente</w:t>
      </w:r>
      <w:r w:rsidR="00710108">
        <w:rPr>
          <w:rFonts w:ascii="Arial" w:eastAsiaTheme="minorHAnsi" w:hAnsi="Arial" w:cs="Arial"/>
          <w:sz w:val="20"/>
          <w:lang w:eastAsia="en-US"/>
        </w:rPr>
        <w:t xml:space="preserve"> </w:t>
      </w:r>
      <w:r>
        <w:rPr>
          <w:rFonts w:ascii="Arial" w:eastAsiaTheme="minorHAnsi" w:hAnsi="Arial" w:cs="Arial"/>
          <w:sz w:val="20"/>
          <w:lang w:eastAsia="en-US"/>
        </w:rPr>
        <w:t xml:space="preserve">aggiornate in occasione delle revisioni straordinarie </w:t>
      </w:r>
      <w:r w:rsidRPr="00573105">
        <w:rPr>
          <w:rFonts w:ascii="Arial" w:eastAsiaTheme="minorHAnsi" w:hAnsi="Arial" w:cs="Arial"/>
          <w:sz w:val="20"/>
          <w:lang w:eastAsia="en-US"/>
        </w:rPr>
        <w:t xml:space="preserve">per sfruttare </w:t>
      </w:r>
      <w:r>
        <w:rPr>
          <w:rFonts w:ascii="Arial" w:eastAsiaTheme="minorHAnsi" w:hAnsi="Arial" w:cs="Arial"/>
          <w:sz w:val="20"/>
          <w:lang w:eastAsia="en-US"/>
        </w:rPr>
        <w:t xml:space="preserve">il </w:t>
      </w:r>
      <w:r w:rsidRPr="00573105">
        <w:rPr>
          <w:rFonts w:ascii="Arial" w:eastAsiaTheme="minorHAnsi" w:hAnsi="Arial" w:cs="Arial"/>
          <w:sz w:val="20"/>
          <w:lang w:eastAsia="en-US"/>
        </w:rPr>
        <w:t xml:space="preserve">patrimonio </w:t>
      </w:r>
      <w:r>
        <w:rPr>
          <w:rFonts w:ascii="Arial" w:eastAsiaTheme="minorHAnsi" w:hAnsi="Arial" w:cs="Arial"/>
          <w:sz w:val="20"/>
          <w:lang w:eastAsia="en-US"/>
        </w:rPr>
        <w:t>informativo che si rende periodicamente disponibile</w:t>
      </w:r>
      <w:r w:rsidRPr="00573105">
        <w:rPr>
          <w:rFonts w:ascii="Arial" w:eastAsiaTheme="minorHAnsi" w:hAnsi="Arial" w:cs="Arial"/>
          <w:sz w:val="20"/>
          <w:lang w:eastAsia="en-US"/>
        </w:rPr>
        <w:t xml:space="preserve">. </w:t>
      </w:r>
    </w:p>
    <w:p w:rsidR="00A549BF" w:rsidRPr="00573105" w:rsidRDefault="00A549BF" w:rsidP="00A549BF">
      <w:pPr>
        <w:spacing w:after="120"/>
        <w:jc w:val="both"/>
        <w:rPr>
          <w:rFonts w:ascii="Arial" w:eastAsiaTheme="minorHAnsi" w:hAnsi="Arial" w:cs="Arial"/>
          <w:sz w:val="20"/>
          <w:lang w:eastAsia="en-US"/>
        </w:rPr>
      </w:pPr>
      <w:r w:rsidRPr="00573105">
        <w:rPr>
          <w:rFonts w:ascii="Arial" w:eastAsiaTheme="minorHAnsi" w:hAnsi="Arial" w:cs="Arial"/>
          <w:sz w:val="20"/>
          <w:lang w:eastAsia="en-US"/>
        </w:rPr>
        <w:t xml:space="preserve">Il set informativo che genera le stime sull’input di lavoro è costituito da due basi dati disponibili annualmente, con un lag temporale di due anni. La prima, che consente di stimare le posizioni lavorative regolari, è di natura censuaria e riguarda i datori di lavoro. </w:t>
      </w:r>
      <w:r>
        <w:rPr>
          <w:rFonts w:ascii="Arial" w:eastAsiaTheme="minorHAnsi" w:hAnsi="Arial" w:cs="Arial"/>
          <w:sz w:val="20"/>
          <w:lang w:eastAsia="en-US"/>
        </w:rPr>
        <w:t>Tale fonte</w:t>
      </w:r>
      <w:r w:rsidRPr="00573105">
        <w:rPr>
          <w:rFonts w:ascii="Arial" w:eastAsiaTheme="minorHAnsi" w:hAnsi="Arial" w:cs="Arial"/>
          <w:sz w:val="20"/>
          <w:lang w:eastAsia="en-US"/>
        </w:rPr>
        <w:t xml:space="preserve"> è alimentata prevalentemente da registri statistici e archivi amministrativi. La seconda, incentrata sui lavoratori, rappresenta l’offerta di lavoro e copre sia la componente regolare che quella non regolare dell’input di lavoro. Essa è basata sull’integrazione di dati individuali </w:t>
      </w:r>
      <w:r>
        <w:rPr>
          <w:rFonts w:ascii="Arial" w:eastAsiaTheme="minorHAnsi" w:hAnsi="Arial" w:cs="Arial"/>
          <w:sz w:val="20"/>
          <w:lang w:eastAsia="en-US"/>
        </w:rPr>
        <w:t xml:space="preserve">campionari </w:t>
      </w:r>
      <w:r w:rsidRPr="00573105">
        <w:rPr>
          <w:rFonts w:ascii="Arial" w:eastAsiaTheme="minorHAnsi" w:hAnsi="Arial" w:cs="Arial"/>
          <w:sz w:val="20"/>
          <w:lang w:eastAsia="en-US"/>
        </w:rPr>
        <w:t xml:space="preserve">e </w:t>
      </w:r>
      <w:r>
        <w:rPr>
          <w:rFonts w:ascii="Arial" w:eastAsiaTheme="minorHAnsi" w:hAnsi="Arial" w:cs="Arial"/>
          <w:sz w:val="20"/>
          <w:lang w:eastAsia="en-US"/>
        </w:rPr>
        <w:t xml:space="preserve">archivi </w:t>
      </w:r>
      <w:r w:rsidRPr="00573105">
        <w:rPr>
          <w:rFonts w:ascii="Arial" w:eastAsiaTheme="minorHAnsi" w:hAnsi="Arial" w:cs="Arial"/>
          <w:sz w:val="20"/>
          <w:lang w:eastAsia="en-US"/>
        </w:rPr>
        <w:t xml:space="preserve">amministrativi.  </w:t>
      </w:r>
      <w:r>
        <w:rPr>
          <w:rFonts w:ascii="Arial" w:eastAsiaTheme="minorHAnsi" w:hAnsi="Arial" w:cs="Arial"/>
          <w:sz w:val="20"/>
          <w:lang w:eastAsia="en-US"/>
        </w:rPr>
        <w:t>Il</w:t>
      </w:r>
      <w:r w:rsidRPr="00573105">
        <w:rPr>
          <w:rFonts w:ascii="Arial" w:eastAsiaTheme="minorHAnsi" w:hAnsi="Arial" w:cs="Arial"/>
          <w:sz w:val="20"/>
          <w:lang w:eastAsia="en-US"/>
        </w:rPr>
        <w:t xml:space="preserve"> processo di stima sfrutta e mette in coerenza le informazioni presenti nelle diverse fonti relativamente ad una stessa persona.  </w:t>
      </w:r>
    </w:p>
    <w:p w:rsidR="00A549BF" w:rsidRPr="00CF7F56" w:rsidRDefault="00A549BF" w:rsidP="00A549BF">
      <w:pPr>
        <w:spacing w:after="120"/>
        <w:jc w:val="both"/>
        <w:rPr>
          <w:rFonts w:ascii="Arial" w:hAnsi="Arial" w:cs="Arial"/>
          <w:color w:val="000000"/>
          <w:sz w:val="20"/>
        </w:rPr>
      </w:pPr>
      <w:r>
        <w:rPr>
          <w:rFonts w:ascii="Arial" w:hAnsi="Arial" w:cs="Arial"/>
          <w:sz w:val="20"/>
        </w:rPr>
        <w:t>Il processo di integrazione delle fonti dal lato degli individui consente, in particolare, di integrare con</w:t>
      </w:r>
      <w:r w:rsidRPr="00305773">
        <w:rPr>
          <w:rFonts w:ascii="Arial" w:eastAsiaTheme="minorHAnsi" w:hAnsi="Arial" w:cs="Arial"/>
          <w:sz w:val="20"/>
          <w:lang w:eastAsia="en-US"/>
        </w:rPr>
        <w:t xml:space="preserve"> tecniche di micro-linkage</w:t>
      </w:r>
      <w:r>
        <w:rPr>
          <w:rFonts w:ascii="Arial" w:hAnsi="Arial" w:cs="Arial"/>
          <w:sz w:val="20"/>
        </w:rPr>
        <w:t xml:space="preserve"> i dati individuali </w:t>
      </w:r>
      <w:r w:rsidRPr="008E0407">
        <w:rPr>
          <w:rFonts w:ascii="Arial" w:hAnsi="Arial" w:cs="Arial"/>
          <w:sz w:val="20"/>
        </w:rPr>
        <w:t>d</w:t>
      </w:r>
      <w:r>
        <w:rPr>
          <w:rFonts w:ascii="Arial" w:hAnsi="Arial" w:cs="Arial"/>
          <w:sz w:val="20"/>
        </w:rPr>
        <w:t>e</w:t>
      </w:r>
      <w:r w:rsidRPr="008E0407">
        <w:rPr>
          <w:rFonts w:ascii="Arial" w:hAnsi="Arial" w:cs="Arial"/>
          <w:sz w:val="20"/>
        </w:rPr>
        <w:t>ll’indagine</w:t>
      </w:r>
      <w:r>
        <w:rPr>
          <w:rFonts w:ascii="Arial" w:hAnsi="Arial" w:cs="Arial"/>
          <w:sz w:val="20"/>
        </w:rPr>
        <w:t xml:space="preserve"> campionaria sulle</w:t>
      </w:r>
      <w:r w:rsidRPr="008E0407">
        <w:rPr>
          <w:rFonts w:ascii="Arial" w:hAnsi="Arial" w:cs="Arial"/>
          <w:sz w:val="20"/>
        </w:rPr>
        <w:t xml:space="preserve"> Forze di Lavoro </w:t>
      </w:r>
      <w:r w:rsidRPr="00305773">
        <w:rPr>
          <w:rFonts w:ascii="Arial" w:eastAsiaTheme="minorHAnsi" w:hAnsi="Arial" w:cs="Arial"/>
          <w:sz w:val="20"/>
          <w:lang w:eastAsia="en-US"/>
        </w:rPr>
        <w:t xml:space="preserve">con </w:t>
      </w:r>
      <w:r>
        <w:rPr>
          <w:rFonts w:ascii="Arial" w:eastAsiaTheme="minorHAnsi" w:hAnsi="Arial" w:cs="Arial"/>
          <w:sz w:val="20"/>
          <w:lang w:eastAsia="en-US"/>
        </w:rPr>
        <w:t>gli i</w:t>
      </w:r>
      <w:r w:rsidRPr="00305773">
        <w:rPr>
          <w:rFonts w:ascii="Arial" w:eastAsiaTheme="minorHAnsi" w:hAnsi="Arial" w:cs="Arial"/>
          <w:sz w:val="20"/>
          <w:lang w:eastAsia="en-US"/>
        </w:rPr>
        <w:t xml:space="preserve"> archivi </w:t>
      </w:r>
      <w:r>
        <w:rPr>
          <w:rFonts w:ascii="Arial" w:eastAsiaTheme="minorHAnsi" w:hAnsi="Arial" w:cs="Arial"/>
          <w:sz w:val="20"/>
          <w:lang w:eastAsia="en-US"/>
        </w:rPr>
        <w:t>di tipo contributivo contenenti informazioni su tutte le attività lavorative (principali e secondarie) da essi svolte</w:t>
      </w:r>
      <w:r w:rsidRPr="008E0407">
        <w:rPr>
          <w:rFonts w:ascii="Arial" w:hAnsi="Arial" w:cs="Arial"/>
          <w:sz w:val="20"/>
          <w:vertAlign w:val="superscript"/>
        </w:rPr>
        <w:footnoteReference w:id="7"/>
      </w:r>
      <w:r>
        <w:rPr>
          <w:rFonts w:ascii="Arial" w:hAnsi="Arial" w:cs="Arial"/>
          <w:sz w:val="20"/>
        </w:rPr>
        <w:t>.</w:t>
      </w:r>
      <w:r w:rsidRPr="00CF7F56">
        <w:rPr>
          <w:rFonts w:ascii="Arial" w:hAnsi="Arial" w:cs="Arial"/>
          <w:color w:val="000000"/>
          <w:sz w:val="20"/>
        </w:rPr>
        <w:t>L’analisi di coerenza delle informazioni così integrate consente di misurare e correggere statisticamente la sovra-copertura che caratterizza gli archivi amministrativi ed eventuali fenomeni di sotto-copertura dell’indagine Forze di Lavoro</w:t>
      </w:r>
      <w:r>
        <w:rPr>
          <w:rFonts w:ascii="Arial" w:hAnsi="Arial" w:cs="Arial"/>
          <w:color w:val="000000"/>
          <w:sz w:val="20"/>
        </w:rPr>
        <w:t xml:space="preserve">, dovute </w:t>
      </w:r>
      <w:r>
        <w:rPr>
          <w:rFonts w:ascii="Arial" w:hAnsi="Arial" w:cs="Arial"/>
          <w:color w:val="000000"/>
          <w:sz w:val="20"/>
        </w:rPr>
        <w:lastRenderedPageBreak/>
        <w:t>alle differenti modalità di raccolta e di trattamento delle informazioni</w:t>
      </w:r>
      <w:r>
        <w:rPr>
          <w:rStyle w:val="Rimandonotaapidipagina"/>
          <w:rFonts w:ascii="Arial" w:hAnsi="Arial" w:cs="Arial"/>
          <w:color w:val="000000"/>
          <w:sz w:val="20"/>
        </w:rPr>
        <w:footnoteReference w:id="8"/>
      </w:r>
      <w:r w:rsidRPr="00CF7F56">
        <w:rPr>
          <w:rFonts w:ascii="Arial" w:hAnsi="Arial" w:cs="Arial"/>
          <w:color w:val="000000"/>
          <w:sz w:val="20"/>
        </w:rPr>
        <w:t xml:space="preserve">. </w:t>
      </w:r>
      <w:r>
        <w:rPr>
          <w:rFonts w:ascii="Arial" w:hAnsi="Arial" w:cs="Arial"/>
          <w:color w:val="000000"/>
          <w:sz w:val="20"/>
        </w:rPr>
        <w:t>Il metodo consente, in particolare, di discriminare le varie tipologie di lavoro, individuando il confine tra lavoro regolare e irregolare all’interno di una stessa fonte, sia in termini di persone fisiche occupate sia di posizioni lavorative, e di abbinare a ciascuna posizione stimata le ore effettivamente lavorate come rilevate dall’indagine Forze di lavoro.</w:t>
      </w:r>
    </w:p>
    <w:p w:rsidR="00A549BF" w:rsidRPr="00305773" w:rsidRDefault="00A549BF" w:rsidP="00A549BF">
      <w:pPr>
        <w:pStyle w:val="Default"/>
        <w:autoSpaceDE/>
        <w:autoSpaceDN/>
        <w:adjustRightInd/>
        <w:spacing w:after="120"/>
        <w:jc w:val="both"/>
        <w:rPr>
          <w:rFonts w:ascii="Arial" w:hAnsi="Arial" w:cs="Arial"/>
          <w:sz w:val="20"/>
        </w:rPr>
      </w:pPr>
      <w:r w:rsidRPr="008E0407">
        <w:rPr>
          <w:rFonts w:ascii="Arial" w:hAnsi="Arial" w:cs="Arial"/>
          <w:sz w:val="20"/>
        </w:rPr>
        <w:t>Al fine di giungere a una copertura esaustiva</w:t>
      </w:r>
      <w:r>
        <w:rPr>
          <w:rFonts w:ascii="Arial" w:hAnsi="Arial" w:cs="Arial"/>
          <w:sz w:val="20"/>
        </w:rPr>
        <w:t xml:space="preserve"> dell’input di lavoro</w:t>
      </w:r>
      <w:r w:rsidRPr="008E0407">
        <w:rPr>
          <w:rFonts w:ascii="Arial" w:hAnsi="Arial" w:cs="Arial"/>
          <w:sz w:val="20"/>
        </w:rPr>
        <w:t xml:space="preserve">, </w:t>
      </w:r>
      <w:r>
        <w:rPr>
          <w:rFonts w:ascii="Arial" w:hAnsi="Arial" w:cs="Arial"/>
          <w:sz w:val="20"/>
        </w:rPr>
        <w:t>a</w:t>
      </w:r>
      <w:r w:rsidRPr="008E0407">
        <w:rPr>
          <w:rFonts w:ascii="Arial" w:hAnsi="Arial" w:cs="Arial"/>
          <w:sz w:val="20"/>
        </w:rPr>
        <w:t xml:space="preserve">lle posizioni non regolari stimate </w:t>
      </w:r>
      <w:r>
        <w:rPr>
          <w:rFonts w:ascii="Arial" w:hAnsi="Arial" w:cs="Arial"/>
          <w:sz w:val="20"/>
        </w:rPr>
        <w:t>con il database</w:t>
      </w:r>
      <w:r w:rsidRPr="008E0407">
        <w:rPr>
          <w:rFonts w:ascii="Arial" w:hAnsi="Arial" w:cs="Arial"/>
          <w:sz w:val="20"/>
        </w:rPr>
        <w:t xml:space="preserve"> Fl-Admin</w:t>
      </w:r>
      <w:r>
        <w:rPr>
          <w:rFonts w:ascii="Arial" w:hAnsi="Arial" w:cs="Arial"/>
          <w:sz w:val="20"/>
        </w:rPr>
        <w:t xml:space="preserve"> (il cui campo di osservazione è costituito dagli individui residenti) sono </w:t>
      </w:r>
      <w:r w:rsidRPr="008E0407">
        <w:rPr>
          <w:rFonts w:ascii="Arial" w:hAnsi="Arial" w:cs="Arial"/>
          <w:sz w:val="20"/>
        </w:rPr>
        <w:t>aggiunte</w:t>
      </w:r>
      <w:r>
        <w:rPr>
          <w:rFonts w:ascii="Arial" w:hAnsi="Arial" w:cs="Arial"/>
          <w:sz w:val="20"/>
        </w:rPr>
        <w:t xml:space="preserve"> le posizioni </w:t>
      </w:r>
      <w:r w:rsidRPr="008E0407">
        <w:rPr>
          <w:rFonts w:ascii="Arial" w:hAnsi="Arial" w:cs="Arial"/>
          <w:sz w:val="20"/>
        </w:rPr>
        <w:t>relative ai non residenti che effettuano prestazioni lavorative sul territorio</w:t>
      </w:r>
      <w:r w:rsidR="00710108">
        <w:rPr>
          <w:rFonts w:ascii="Arial" w:hAnsi="Arial" w:cs="Arial"/>
          <w:sz w:val="20"/>
        </w:rPr>
        <w:t xml:space="preserve"> </w:t>
      </w:r>
      <w:r>
        <w:rPr>
          <w:rFonts w:ascii="Arial" w:hAnsi="Arial" w:cs="Arial"/>
          <w:sz w:val="20"/>
        </w:rPr>
        <w:t>economico</w:t>
      </w:r>
      <w:r w:rsidRPr="008E0407">
        <w:rPr>
          <w:rFonts w:ascii="Arial" w:hAnsi="Arial" w:cs="Arial"/>
          <w:sz w:val="20"/>
        </w:rPr>
        <w:t>, per i quali si dispone di fonti informative differenti a seconda che si tratti di persone con titolo a soggiornare o di cosiddetti clandestini.</w:t>
      </w:r>
      <w:r w:rsidRPr="00573105">
        <w:rPr>
          <w:rFonts w:ascii="Arial" w:hAnsi="Arial" w:cs="Arial"/>
          <w:sz w:val="20"/>
          <w:szCs w:val="20"/>
          <w:vertAlign w:val="superscript"/>
        </w:rPr>
        <w:footnoteReference w:id="9"/>
      </w:r>
      <w:r>
        <w:rPr>
          <w:rFonts w:ascii="Arial" w:hAnsi="Arial" w:cs="Arial"/>
          <w:sz w:val="20"/>
        </w:rPr>
        <w:t xml:space="preserve"> Inoltre, </w:t>
      </w:r>
      <w:r w:rsidRPr="00CF7F56">
        <w:rPr>
          <w:rFonts w:ascii="Arial" w:hAnsi="Arial" w:cs="Arial"/>
          <w:sz w:val="20"/>
        </w:rPr>
        <w:t xml:space="preserve">in alcuni settori è </w:t>
      </w:r>
      <w:r>
        <w:rPr>
          <w:rFonts w:ascii="Arial" w:hAnsi="Arial" w:cs="Arial"/>
          <w:sz w:val="20"/>
        </w:rPr>
        <w:t>emersa</w:t>
      </w:r>
      <w:r w:rsidRPr="00CF7F56">
        <w:rPr>
          <w:rFonts w:ascii="Arial" w:hAnsi="Arial" w:cs="Arial"/>
          <w:sz w:val="20"/>
        </w:rPr>
        <w:t xml:space="preserve"> la necessità di operare ulteriori integrazioni al lavoro non regolare per cogliere prestazioni lavorative presumibilmente marginali, con un basso contenuto di ore lavorate, relative a tipologie di lavoratori che possono sfuggire alle rilevazioni dirette per il tipo di lavoro prestato o per la forte frammentazione dell’attività in un numero elevato di rapporti. </w:t>
      </w:r>
    </w:p>
    <w:p w:rsidR="00A549BF" w:rsidRPr="008E0407" w:rsidRDefault="00A549BF" w:rsidP="00A549BF">
      <w:pPr>
        <w:pStyle w:val="Default"/>
        <w:autoSpaceDE/>
        <w:autoSpaceDN/>
        <w:adjustRightInd/>
        <w:spacing w:after="120"/>
        <w:jc w:val="both"/>
        <w:rPr>
          <w:rFonts w:ascii="Arial" w:hAnsi="Arial" w:cs="Arial"/>
          <w:sz w:val="20"/>
        </w:rPr>
      </w:pPr>
      <w:r w:rsidRPr="008E0407">
        <w:rPr>
          <w:rFonts w:ascii="Arial" w:hAnsi="Arial" w:cs="Arial"/>
          <w:sz w:val="20"/>
        </w:rPr>
        <w:t>Infine, la componente di lavoro non regolare viene integrata con una stima delle posizioni lavorative che svolgono attività illegali</w:t>
      </w:r>
      <w:r w:rsidR="008E1982">
        <w:rPr>
          <w:rFonts w:ascii="Arial" w:hAnsi="Arial" w:cs="Arial"/>
          <w:sz w:val="20"/>
        </w:rPr>
        <w:t xml:space="preserve"> </w:t>
      </w:r>
      <w:r w:rsidRPr="00F3037A">
        <w:rPr>
          <w:rFonts w:ascii="Arial" w:hAnsi="Arial" w:cs="Arial"/>
          <w:sz w:val="20"/>
        </w:rPr>
        <w:t xml:space="preserve">calcolate a partire dalle stime del valore aggiunto realizzato in tali attività e rapportandolo ad un valore medio per posizione lavorativa. Gli occupati e le relative posizioni lavorative stimate sono tutte classificate come indipendenti e integrate nei settori </w:t>
      </w:r>
      <w:r>
        <w:rPr>
          <w:rFonts w:ascii="Arial" w:hAnsi="Arial" w:cs="Arial"/>
          <w:sz w:val="20"/>
        </w:rPr>
        <w:t xml:space="preserve">del </w:t>
      </w:r>
      <w:r w:rsidRPr="00F3037A">
        <w:rPr>
          <w:rFonts w:ascii="Arial" w:hAnsi="Arial" w:cs="Arial"/>
          <w:sz w:val="20"/>
        </w:rPr>
        <w:t>commercio all’ingrosso e al dettaglio (per le sostanze stupefacenti ed il contrabbando), e</w:t>
      </w:r>
      <w:r>
        <w:rPr>
          <w:rFonts w:ascii="Arial" w:hAnsi="Arial" w:cs="Arial"/>
          <w:sz w:val="20"/>
        </w:rPr>
        <w:t xml:space="preserve"> delle</w:t>
      </w:r>
      <w:r w:rsidRPr="00F3037A">
        <w:rPr>
          <w:rFonts w:ascii="Arial" w:hAnsi="Arial" w:cs="Arial"/>
          <w:sz w:val="20"/>
        </w:rPr>
        <w:t xml:space="preserve"> altre attività di servizi alla persona (per la prostituzione).</w:t>
      </w:r>
    </w:p>
    <w:p w:rsidR="00A549BF" w:rsidRPr="008E0407" w:rsidRDefault="00A549BF" w:rsidP="00A549BF">
      <w:pPr>
        <w:pStyle w:val="Default"/>
        <w:autoSpaceDE/>
        <w:autoSpaceDN/>
        <w:adjustRightInd/>
        <w:spacing w:after="120"/>
        <w:jc w:val="both"/>
      </w:pPr>
      <w:r w:rsidRPr="00AF3D7F">
        <w:rPr>
          <w:rFonts w:ascii="Arial" w:hAnsi="Arial" w:cs="Arial"/>
          <w:sz w:val="20"/>
        </w:rPr>
        <w:t>A partire dalla stima complessiva delle posizioni lavorative regolari e non regolari è possibile misurare il complesso delle ore lavorate. Sfruttando il dettaglio dell’informazione sulle ore lavorate registrate nel</w:t>
      </w:r>
      <w:r>
        <w:rPr>
          <w:rFonts w:ascii="Arial" w:hAnsi="Arial" w:cs="Arial"/>
          <w:sz w:val="20"/>
        </w:rPr>
        <w:t xml:space="preserve"> database</w:t>
      </w:r>
      <w:r w:rsidRPr="00AF3D7F">
        <w:rPr>
          <w:rFonts w:ascii="Arial" w:hAnsi="Arial" w:cs="Arial"/>
          <w:sz w:val="20"/>
        </w:rPr>
        <w:t xml:space="preserve"> Fl-Admin</w:t>
      </w:r>
      <w:r>
        <w:rPr>
          <w:rFonts w:ascii="Arial" w:hAnsi="Arial" w:cs="Arial"/>
          <w:sz w:val="20"/>
        </w:rPr>
        <w:t xml:space="preserve"> si ottengono dei pro capite orari per singola componente (tipologia di occupazione – regolare /non regolare, </w:t>
      </w:r>
      <w:r w:rsidRPr="00AF3D7F">
        <w:rPr>
          <w:rFonts w:ascii="Arial" w:hAnsi="Arial" w:cs="Arial"/>
          <w:sz w:val="20"/>
        </w:rPr>
        <w:t xml:space="preserve">posizione nella professione, </w:t>
      </w:r>
      <w:r>
        <w:rPr>
          <w:rFonts w:ascii="Arial" w:hAnsi="Arial" w:cs="Arial"/>
          <w:sz w:val="20"/>
        </w:rPr>
        <w:t>attività principale</w:t>
      </w:r>
      <w:r w:rsidR="00710108">
        <w:rPr>
          <w:rFonts w:ascii="Arial" w:hAnsi="Arial" w:cs="Arial"/>
          <w:sz w:val="20"/>
        </w:rPr>
        <w:t xml:space="preserve"> </w:t>
      </w:r>
      <w:r>
        <w:rPr>
          <w:rFonts w:ascii="Arial" w:hAnsi="Arial" w:cs="Arial"/>
          <w:sz w:val="20"/>
        </w:rPr>
        <w:t>o</w:t>
      </w:r>
      <w:r w:rsidRPr="00AF3D7F">
        <w:rPr>
          <w:rFonts w:ascii="Arial" w:hAnsi="Arial" w:cs="Arial"/>
          <w:sz w:val="20"/>
        </w:rPr>
        <w:t xml:space="preserve"> secondari</w:t>
      </w:r>
      <w:r>
        <w:rPr>
          <w:rFonts w:ascii="Arial" w:hAnsi="Arial" w:cs="Arial"/>
          <w:sz w:val="20"/>
        </w:rPr>
        <w:t>a</w:t>
      </w:r>
      <w:r w:rsidRPr="00AF3D7F">
        <w:rPr>
          <w:rFonts w:ascii="Arial" w:hAnsi="Arial" w:cs="Arial"/>
          <w:sz w:val="20"/>
        </w:rPr>
        <w:t>, caratteristiche dell’unità produttiva</w:t>
      </w:r>
      <w:r>
        <w:rPr>
          <w:rFonts w:ascii="Arial" w:hAnsi="Arial" w:cs="Arial"/>
          <w:sz w:val="20"/>
        </w:rPr>
        <w:t>) che vengono moltiplicati per le rispettive posizioni.  L</w:t>
      </w:r>
      <w:r w:rsidRPr="00AF3D7F">
        <w:rPr>
          <w:rFonts w:ascii="Arial" w:hAnsi="Arial" w:cs="Arial"/>
          <w:sz w:val="20"/>
        </w:rPr>
        <w:t xml:space="preserve">e unità di lavoro </w:t>
      </w:r>
      <w:r>
        <w:rPr>
          <w:rFonts w:ascii="Arial" w:hAnsi="Arial" w:cs="Arial"/>
          <w:sz w:val="20"/>
        </w:rPr>
        <w:t xml:space="preserve">sono infine ottenute </w:t>
      </w:r>
      <w:r w:rsidRPr="00AF3D7F">
        <w:rPr>
          <w:rFonts w:ascii="Arial" w:hAnsi="Arial" w:cs="Arial"/>
          <w:sz w:val="20"/>
        </w:rPr>
        <w:t>dividendo il monte ore lavorate per l’orario medio degli occupati a tempo pieno</w:t>
      </w:r>
      <w:r>
        <w:rPr>
          <w:rFonts w:ascii="Arial" w:hAnsi="Arial" w:cs="Arial"/>
          <w:sz w:val="20"/>
        </w:rPr>
        <w:t>.</w:t>
      </w:r>
      <w:r w:rsidR="00710108">
        <w:rPr>
          <w:rFonts w:ascii="Arial" w:hAnsi="Arial" w:cs="Arial"/>
          <w:sz w:val="20"/>
        </w:rPr>
        <w:t xml:space="preserve"> </w:t>
      </w:r>
      <w:r w:rsidRPr="00AF3D7F">
        <w:rPr>
          <w:rFonts w:ascii="Arial" w:hAnsi="Arial" w:cs="Arial"/>
          <w:sz w:val="20"/>
        </w:rPr>
        <w:t>L’orario medio è posto convenzionalmente pari all’orario contrattuale per le posizioni lavorative dei dipendenti regolari, mentre è derivato dall</w:t>
      </w:r>
      <w:r>
        <w:rPr>
          <w:rFonts w:ascii="Arial" w:hAnsi="Arial" w:cs="Arial"/>
          <w:sz w:val="20"/>
        </w:rPr>
        <w:t>’indagine sulle Forze di lavoro</w:t>
      </w:r>
      <w:r w:rsidRPr="00AF3D7F">
        <w:rPr>
          <w:rFonts w:ascii="Arial" w:hAnsi="Arial" w:cs="Arial"/>
          <w:sz w:val="20"/>
        </w:rPr>
        <w:t xml:space="preserve"> per le posizioni dei dipendenti non regolari e per quelle degli indipendenti.</w:t>
      </w:r>
    </w:p>
    <w:p w:rsidR="00A549BF" w:rsidRDefault="00A549BF" w:rsidP="00A549BF">
      <w:pPr>
        <w:spacing w:after="120"/>
        <w:jc w:val="both"/>
        <w:rPr>
          <w:rFonts w:ascii="Arial" w:hAnsi="Arial" w:cs="Arial"/>
          <w:color w:val="1F497D"/>
          <w:sz w:val="22"/>
        </w:rPr>
      </w:pPr>
    </w:p>
    <w:p w:rsidR="00A549BF" w:rsidRDefault="00A549BF" w:rsidP="00A549BF">
      <w:pPr>
        <w:spacing w:after="120"/>
        <w:jc w:val="both"/>
        <w:rPr>
          <w:rFonts w:ascii="Arial" w:hAnsi="Arial" w:cs="Arial"/>
          <w:color w:val="1F497D"/>
          <w:sz w:val="22"/>
        </w:rPr>
      </w:pPr>
      <w:r w:rsidRPr="005360A1">
        <w:rPr>
          <w:rFonts w:ascii="Arial" w:hAnsi="Arial" w:cs="Arial"/>
          <w:color w:val="1F497D"/>
          <w:sz w:val="22"/>
        </w:rPr>
        <w:t xml:space="preserve">La </w:t>
      </w:r>
      <w:r>
        <w:rPr>
          <w:rFonts w:ascii="Arial" w:hAnsi="Arial" w:cs="Arial"/>
          <w:color w:val="1F497D"/>
          <w:sz w:val="22"/>
        </w:rPr>
        <w:t xml:space="preserve">stima del valore aggiunto </w:t>
      </w:r>
    </w:p>
    <w:p w:rsidR="00A549BF" w:rsidRDefault="00A549BF" w:rsidP="00A549BF">
      <w:pPr>
        <w:spacing w:after="120"/>
        <w:jc w:val="both"/>
        <w:rPr>
          <w:rFonts w:ascii="Arial" w:hAnsi="Arial" w:cs="Arial"/>
          <w:sz w:val="20"/>
        </w:rPr>
      </w:pPr>
      <w:r>
        <w:rPr>
          <w:rFonts w:ascii="Arial" w:hAnsi="Arial" w:cs="Arial"/>
          <w:sz w:val="20"/>
        </w:rPr>
        <w:t>Il valore aggiunto sommerso generato attraverso l’impiego di lavoro irregolare viene stimato tenendo conto principalmente del settore di attività economica e della classe dimensionale di impresa in cui è classificata l’occupazione irregolare. Esso è ottenuto come somma di tre componenti: la parte che si distribuisce ai dipendenti irregolari</w:t>
      </w:r>
      <w:r w:rsidR="00433E22">
        <w:rPr>
          <w:rFonts w:ascii="Arial" w:hAnsi="Arial" w:cs="Arial"/>
          <w:sz w:val="20"/>
        </w:rPr>
        <w:t>;</w:t>
      </w:r>
      <w:r>
        <w:rPr>
          <w:rFonts w:ascii="Arial" w:hAnsi="Arial" w:cs="Arial"/>
          <w:sz w:val="20"/>
        </w:rPr>
        <w:t xml:space="preserve">  una componente data dal surplus di profitto che si genera nella formazione del reddito dell’imprenditore attraverso l’impiego di lavoro dipendente non iscritto regolarmente nei libri paga dell’impresa (sia essa regolare e/o una unità completamente sconosciuta alle autorità fiscali )</w:t>
      </w:r>
      <w:r w:rsidR="00433E22">
        <w:rPr>
          <w:rFonts w:ascii="Arial" w:hAnsi="Arial" w:cs="Arial"/>
          <w:sz w:val="20"/>
        </w:rPr>
        <w:t>;</w:t>
      </w:r>
      <w:r>
        <w:rPr>
          <w:rFonts w:ascii="Arial" w:hAnsi="Arial" w:cs="Arial"/>
          <w:sz w:val="20"/>
        </w:rPr>
        <w:t xml:space="preserve"> la parte generata da</w:t>
      </w:r>
      <w:r w:rsidRPr="0060764F">
        <w:rPr>
          <w:rFonts w:ascii="Arial" w:hAnsi="Arial" w:cs="Arial"/>
          <w:sz w:val="20"/>
        </w:rPr>
        <w:t>gli indipendenti irregolari</w:t>
      </w:r>
      <w:r>
        <w:rPr>
          <w:rFonts w:ascii="Arial" w:hAnsi="Arial" w:cs="Arial"/>
          <w:sz w:val="20"/>
        </w:rPr>
        <w:t xml:space="preserve"> che possono essere considerati come delle micro-imprese senza dipendenti.</w:t>
      </w:r>
    </w:p>
    <w:p w:rsidR="00A549BF" w:rsidRDefault="00A549BF" w:rsidP="00A549BF">
      <w:pPr>
        <w:spacing w:after="120"/>
        <w:jc w:val="both"/>
        <w:rPr>
          <w:rFonts w:ascii="Arial" w:hAnsi="Arial" w:cs="Arial"/>
          <w:sz w:val="20"/>
        </w:rPr>
      </w:pPr>
      <w:r>
        <w:rPr>
          <w:rFonts w:ascii="Arial" w:hAnsi="Arial" w:cs="Arial"/>
          <w:sz w:val="20"/>
        </w:rPr>
        <w:t>Per quanto riguarda i dipendenti irregolari si assume che la parte di valore aggiunto da essi generato sia pari alle retribuzioni che essi ricevono. Tali retribuzioni vengono stimate applicando alle ore lavorate dai dipendenti irregolari un salario orario</w:t>
      </w:r>
      <w:r w:rsidR="00710108">
        <w:rPr>
          <w:rFonts w:ascii="Arial" w:hAnsi="Arial" w:cs="Arial"/>
          <w:sz w:val="20"/>
        </w:rPr>
        <w:t xml:space="preserve"> </w:t>
      </w:r>
      <w:r>
        <w:rPr>
          <w:rFonts w:ascii="Arial" w:hAnsi="Arial" w:cs="Arial"/>
          <w:sz w:val="20"/>
        </w:rPr>
        <w:t xml:space="preserve">ottenuto correggendo la retribuzione media oraria di un lavoratore regolare per il differenziale retributivo per ora lavorata tra dipendenti irregolari e regolari desunto dall’indagine sulle Forze di lavoro. </w:t>
      </w:r>
    </w:p>
    <w:p w:rsidR="00A549BF" w:rsidRDefault="00A549BF" w:rsidP="00A549BF">
      <w:pPr>
        <w:spacing w:after="120"/>
        <w:jc w:val="both"/>
        <w:rPr>
          <w:rFonts w:ascii="Arial" w:hAnsi="Arial" w:cs="Arial"/>
          <w:sz w:val="20"/>
        </w:rPr>
      </w:pPr>
      <w:r>
        <w:rPr>
          <w:rFonts w:ascii="Arial" w:hAnsi="Arial" w:cs="Arial"/>
          <w:sz w:val="20"/>
        </w:rPr>
        <w:t>La seconda componente misura il vantaggio competitivo ottenuto dall’imprenditore che, a parità di output, impiega lavoro a un prezzo (salario) inferiore rispetto a quello pagato da una impresa dello stesso settore di attività economica che impiega esclusivamente lavoro regolare. Il miglioramento recentemente apportato alla metodologia di stima di tale surplus consiste nel calcolarlo come funzione dei risultati economici delle piccole imprese: il rapporto tra il profitto medio di un indipendente rispetto al costo del lavoro sostenuto per un suo dipendente, calcolato sulla base delle informazioni desunte dalle fonti per le imprese di piccolissime dimensioni, viene moltiplicato per l’ammontare complessivo delle retribuzioni irregolari.</w:t>
      </w:r>
    </w:p>
    <w:p w:rsidR="00A549BF" w:rsidRDefault="00A549BF" w:rsidP="00A549BF">
      <w:pPr>
        <w:spacing w:after="120"/>
        <w:jc w:val="both"/>
        <w:rPr>
          <w:rFonts w:ascii="Arial" w:hAnsi="Arial" w:cs="Arial"/>
          <w:sz w:val="20"/>
        </w:rPr>
      </w:pPr>
      <w:r>
        <w:rPr>
          <w:rFonts w:ascii="Arial" w:hAnsi="Arial" w:cs="Arial"/>
          <w:sz w:val="20"/>
        </w:rPr>
        <w:lastRenderedPageBreak/>
        <w:t xml:space="preserve">La stima della terza componete del valore aggiunto sommerso generato dagli indipendenti irregolari è basata sull’ipotesi che il comportamento economico di questi ultimi sia assimilabile a quello di una micro-impresa senza dipendenti, il cui risultato lordo di gestione coincide, </w:t>
      </w:r>
      <w:r w:rsidR="00B730AB">
        <w:rPr>
          <w:rFonts w:ascii="Arial" w:hAnsi="Arial" w:cs="Arial"/>
          <w:sz w:val="20"/>
        </w:rPr>
        <w:t>per definizione</w:t>
      </w:r>
      <w:r>
        <w:rPr>
          <w:rFonts w:ascii="Arial" w:hAnsi="Arial" w:cs="Arial"/>
          <w:sz w:val="20"/>
        </w:rPr>
        <w:t>, con il valore aggiunto. La stima è effettuata moltiplicando il valore medio</w:t>
      </w:r>
      <w:r w:rsidR="00710108">
        <w:rPr>
          <w:rFonts w:ascii="Arial" w:hAnsi="Arial" w:cs="Arial"/>
          <w:sz w:val="20"/>
        </w:rPr>
        <w:t xml:space="preserve"> </w:t>
      </w:r>
      <w:r>
        <w:rPr>
          <w:rFonts w:ascii="Arial" w:hAnsi="Arial" w:cs="Arial"/>
          <w:sz w:val="20"/>
        </w:rPr>
        <w:t>del risultato lordo di gestione elaborato dalle indagini per questa particolare tipologia di impresa (inclusa l’eventuale correzione per la sotto-dichiarazione stimata dai modelli per queste unità) per le posizioni lavorative degli indipendenti irregolari.</w:t>
      </w:r>
    </w:p>
    <w:p w:rsidR="00A549BF" w:rsidRPr="00721337" w:rsidRDefault="00A549BF" w:rsidP="00A549BF">
      <w:pPr>
        <w:spacing w:after="120"/>
        <w:jc w:val="both"/>
        <w:rPr>
          <w:rFonts w:ascii="Arial" w:hAnsi="Arial" w:cs="Arial"/>
          <w:sz w:val="20"/>
        </w:rPr>
      </w:pPr>
      <w:r>
        <w:rPr>
          <w:rFonts w:ascii="Arial" w:hAnsi="Arial" w:cs="Arial"/>
          <w:sz w:val="20"/>
        </w:rPr>
        <w:t>In alcuni settori di attività economica (ad esempio costruzioni, trasporti e ristorazione) la presenza di seconde posizioni di lavoro degli indipendenti irregolari assume dimensioni significative: in questi casi nella valorizzazione del reddito prodotto e limitatamente a tali posizioni, si effettua un aggiustamento dei valori medi del risultato lordo di gestione per tenere conto del differenziale di ore lavorate da una seconda posizione rispetto a una prima posizione di lavoro a tempo pieno.</w:t>
      </w:r>
    </w:p>
    <w:p w:rsidR="00A549BF" w:rsidRDefault="00A549BF" w:rsidP="00A549BF">
      <w:pPr>
        <w:spacing w:after="120"/>
        <w:jc w:val="both"/>
        <w:rPr>
          <w:rFonts w:ascii="Arial" w:hAnsi="Arial" w:cs="Arial"/>
          <w:b/>
          <w:color w:val="1F497D"/>
          <w:sz w:val="22"/>
        </w:rPr>
      </w:pPr>
    </w:p>
    <w:p w:rsidR="00A549BF" w:rsidRPr="005528F5" w:rsidRDefault="00A549BF" w:rsidP="00A549BF">
      <w:pPr>
        <w:spacing w:after="120"/>
        <w:jc w:val="both"/>
        <w:rPr>
          <w:rFonts w:ascii="Arial" w:hAnsi="Arial" w:cs="Arial"/>
          <w:b/>
          <w:color w:val="1F497D"/>
          <w:sz w:val="22"/>
        </w:rPr>
      </w:pPr>
      <w:r w:rsidRPr="005528F5">
        <w:rPr>
          <w:rFonts w:ascii="Arial" w:hAnsi="Arial" w:cs="Arial"/>
          <w:b/>
          <w:color w:val="1F497D"/>
          <w:sz w:val="22"/>
        </w:rPr>
        <w:t>Le altre componenti del sommerso economico</w:t>
      </w:r>
    </w:p>
    <w:p w:rsidR="00A549BF" w:rsidRPr="008E0407" w:rsidRDefault="00A549BF" w:rsidP="00A549BF">
      <w:pPr>
        <w:pStyle w:val="Nessunaspaziatura"/>
        <w:spacing w:after="120"/>
        <w:jc w:val="both"/>
        <w:rPr>
          <w:rFonts w:ascii="Arial" w:eastAsia="Times New Roman" w:hAnsi="Arial" w:cs="Arial"/>
          <w:sz w:val="20"/>
          <w:szCs w:val="20"/>
          <w:lang w:eastAsia="it-IT"/>
        </w:rPr>
      </w:pPr>
      <w:r w:rsidRPr="008E0407">
        <w:rPr>
          <w:rFonts w:ascii="Arial" w:eastAsia="Times New Roman" w:hAnsi="Arial" w:cs="Arial"/>
          <w:sz w:val="20"/>
          <w:szCs w:val="20"/>
          <w:lang w:eastAsia="it-IT"/>
        </w:rPr>
        <w:t xml:space="preserve">La stima del sommerso economico viene completata con l’individuazione di </w:t>
      </w:r>
      <w:r>
        <w:rPr>
          <w:rFonts w:ascii="Arial" w:eastAsia="Times New Roman" w:hAnsi="Arial" w:cs="Arial"/>
          <w:sz w:val="20"/>
          <w:szCs w:val="20"/>
          <w:lang w:eastAsia="it-IT"/>
        </w:rPr>
        <w:t>ulteriori</w:t>
      </w:r>
      <w:r w:rsidRPr="008E0407">
        <w:rPr>
          <w:rFonts w:ascii="Arial" w:eastAsia="Times New Roman" w:hAnsi="Arial" w:cs="Arial"/>
          <w:sz w:val="20"/>
          <w:szCs w:val="20"/>
          <w:lang w:eastAsia="it-IT"/>
        </w:rPr>
        <w:t xml:space="preserve"> componenti che, per la loro stessa natura, non possono essere valutate attraverso le procedure fin qui descritte. </w:t>
      </w:r>
    </w:p>
    <w:p w:rsidR="00A549BF" w:rsidRPr="008E0407" w:rsidRDefault="00A549BF" w:rsidP="00A549BF">
      <w:pPr>
        <w:pStyle w:val="Nessunaspaziatura"/>
        <w:spacing w:after="120"/>
        <w:jc w:val="both"/>
        <w:rPr>
          <w:rFonts w:ascii="Arial" w:eastAsia="Times New Roman" w:hAnsi="Arial" w:cs="Arial"/>
          <w:sz w:val="20"/>
          <w:szCs w:val="20"/>
          <w:lang w:eastAsia="it-IT"/>
        </w:rPr>
      </w:pPr>
      <w:r w:rsidRPr="008E0407">
        <w:rPr>
          <w:rFonts w:ascii="Arial" w:eastAsia="Times New Roman" w:hAnsi="Arial" w:cs="Arial"/>
          <w:sz w:val="20"/>
          <w:szCs w:val="20"/>
          <w:lang w:eastAsia="it-IT"/>
        </w:rPr>
        <w:t xml:space="preserve">Una componente è rappresentata </w:t>
      </w:r>
      <w:r>
        <w:rPr>
          <w:rFonts w:ascii="Arial" w:eastAsia="Times New Roman" w:hAnsi="Arial" w:cs="Arial"/>
          <w:sz w:val="20"/>
          <w:szCs w:val="20"/>
          <w:lang w:eastAsia="it-IT"/>
        </w:rPr>
        <w:t>dall</w:t>
      </w:r>
      <w:r w:rsidRPr="008E0407">
        <w:rPr>
          <w:rFonts w:ascii="Arial" w:eastAsia="Times New Roman" w:hAnsi="Arial" w:cs="Arial"/>
          <w:sz w:val="20"/>
          <w:szCs w:val="20"/>
          <w:lang w:eastAsia="it-IT"/>
        </w:rPr>
        <w:t xml:space="preserve">’attività </w:t>
      </w:r>
      <w:r>
        <w:rPr>
          <w:rFonts w:ascii="Arial" w:eastAsia="Times New Roman" w:hAnsi="Arial" w:cs="Arial"/>
          <w:sz w:val="20"/>
          <w:szCs w:val="20"/>
          <w:lang w:eastAsia="it-IT"/>
        </w:rPr>
        <w:t xml:space="preserve">di locazione senza contratto di immobili </w:t>
      </w:r>
      <w:r w:rsidRPr="008E0407">
        <w:rPr>
          <w:rFonts w:ascii="Arial" w:eastAsia="Times New Roman" w:hAnsi="Arial" w:cs="Arial"/>
          <w:sz w:val="20"/>
          <w:szCs w:val="20"/>
          <w:lang w:eastAsia="it-IT"/>
        </w:rPr>
        <w:t xml:space="preserve">(ad uso residenziale e non residenziale) </w:t>
      </w:r>
      <w:r>
        <w:rPr>
          <w:rFonts w:ascii="Arial" w:eastAsia="Times New Roman" w:hAnsi="Arial" w:cs="Arial"/>
          <w:sz w:val="20"/>
          <w:szCs w:val="20"/>
          <w:lang w:eastAsia="it-IT"/>
        </w:rPr>
        <w:t xml:space="preserve">da parte delle </w:t>
      </w:r>
      <w:r w:rsidRPr="008E0407">
        <w:rPr>
          <w:rFonts w:ascii="Arial" w:eastAsia="Times New Roman" w:hAnsi="Arial" w:cs="Arial"/>
          <w:sz w:val="20"/>
          <w:szCs w:val="20"/>
          <w:lang w:eastAsia="it-IT"/>
        </w:rPr>
        <w:t xml:space="preserve">famiglie. </w:t>
      </w:r>
      <w:r>
        <w:rPr>
          <w:rFonts w:ascii="Arial" w:eastAsia="Times New Roman" w:hAnsi="Arial" w:cs="Arial"/>
          <w:sz w:val="20"/>
          <w:szCs w:val="20"/>
          <w:lang w:eastAsia="it-IT"/>
        </w:rPr>
        <w:t>La stima è ottenuta</w:t>
      </w:r>
      <w:r w:rsidR="00710108">
        <w:rPr>
          <w:rFonts w:ascii="Arial" w:eastAsia="Times New Roman" w:hAnsi="Arial" w:cs="Arial"/>
          <w:sz w:val="20"/>
          <w:szCs w:val="20"/>
          <w:lang w:eastAsia="it-IT"/>
        </w:rPr>
        <w:t xml:space="preserve"> </w:t>
      </w:r>
      <w:r>
        <w:rPr>
          <w:rFonts w:ascii="Arial" w:eastAsia="Times New Roman" w:hAnsi="Arial" w:cs="Arial"/>
          <w:sz w:val="20"/>
          <w:szCs w:val="20"/>
          <w:lang w:eastAsia="it-IT"/>
        </w:rPr>
        <w:t xml:space="preserve">confrontando </w:t>
      </w:r>
      <w:r w:rsidRPr="008E0407">
        <w:rPr>
          <w:rFonts w:ascii="Arial" w:eastAsia="Times New Roman" w:hAnsi="Arial" w:cs="Arial"/>
          <w:sz w:val="20"/>
          <w:szCs w:val="20"/>
          <w:lang w:eastAsia="it-IT"/>
        </w:rPr>
        <w:t xml:space="preserve">il livello complessivo degli affitti (residenziali e non), </w:t>
      </w:r>
      <w:r>
        <w:rPr>
          <w:rFonts w:ascii="Arial" w:eastAsia="Times New Roman" w:hAnsi="Arial" w:cs="Arial"/>
          <w:sz w:val="20"/>
          <w:szCs w:val="20"/>
          <w:lang w:eastAsia="it-IT"/>
        </w:rPr>
        <w:t xml:space="preserve">misurato </w:t>
      </w:r>
      <w:r w:rsidRPr="008E0407">
        <w:rPr>
          <w:rFonts w:ascii="Arial" w:eastAsia="Times New Roman" w:hAnsi="Arial" w:cs="Arial"/>
          <w:sz w:val="20"/>
          <w:szCs w:val="20"/>
          <w:lang w:eastAsia="it-IT"/>
        </w:rPr>
        <w:t>in modo esaustivo secondo le procedure di contabilità nazionale</w:t>
      </w:r>
      <w:r w:rsidRPr="008E0407">
        <w:rPr>
          <w:rFonts w:ascii="Arial" w:eastAsia="Times New Roman" w:hAnsi="Arial" w:cs="Arial"/>
          <w:sz w:val="20"/>
          <w:szCs w:val="20"/>
          <w:vertAlign w:val="superscript"/>
          <w:lang w:eastAsia="it-IT"/>
        </w:rPr>
        <w:footnoteReference w:id="10"/>
      </w:r>
      <w:r w:rsidRPr="008E0407">
        <w:rPr>
          <w:rFonts w:ascii="Arial" w:eastAsia="Times New Roman" w:hAnsi="Arial" w:cs="Arial"/>
          <w:sz w:val="20"/>
          <w:szCs w:val="20"/>
          <w:lang w:eastAsia="it-IT"/>
        </w:rPr>
        <w:t xml:space="preserve">, con la parte emersa, ossia gli affitti riscossi sia </w:t>
      </w:r>
      <w:r>
        <w:rPr>
          <w:rFonts w:ascii="Arial" w:eastAsia="Times New Roman" w:hAnsi="Arial" w:cs="Arial"/>
          <w:sz w:val="20"/>
          <w:szCs w:val="20"/>
          <w:lang w:eastAsia="it-IT"/>
        </w:rPr>
        <w:t>da</w:t>
      </w:r>
      <w:r w:rsidRPr="008E0407">
        <w:rPr>
          <w:rFonts w:ascii="Arial" w:eastAsia="Times New Roman" w:hAnsi="Arial" w:cs="Arial"/>
          <w:sz w:val="20"/>
          <w:szCs w:val="20"/>
          <w:lang w:eastAsia="it-IT"/>
        </w:rPr>
        <w:t xml:space="preserve"> imprese (rilevati dalle indagini sui conti delle imprese), </w:t>
      </w:r>
      <w:r>
        <w:rPr>
          <w:rFonts w:ascii="Arial" w:eastAsia="Times New Roman" w:hAnsi="Arial" w:cs="Arial"/>
          <w:sz w:val="20"/>
          <w:szCs w:val="20"/>
          <w:lang w:eastAsia="it-IT"/>
        </w:rPr>
        <w:t>e</w:t>
      </w:r>
      <w:r w:rsidRPr="008E0407">
        <w:rPr>
          <w:rFonts w:ascii="Arial" w:eastAsia="Times New Roman" w:hAnsi="Arial" w:cs="Arial"/>
          <w:sz w:val="20"/>
          <w:szCs w:val="20"/>
          <w:lang w:eastAsia="it-IT"/>
        </w:rPr>
        <w:t xml:space="preserve"> persone fisiche (rilevati dall’Agenzia delle Entrate).</w:t>
      </w:r>
    </w:p>
    <w:p w:rsidR="00A549BF" w:rsidRPr="008E0407" w:rsidRDefault="00A549BF" w:rsidP="00A549BF">
      <w:pPr>
        <w:pStyle w:val="Nessunaspaziatura"/>
        <w:spacing w:after="120"/>
        <w:jc w:val="both"/>
        <w:rPr>
          <w:rFonts w:ascii="Arial" w:eastAsia="Times New Roman" w:hAnsi="Arial" w:cs="Arial"/>
          <w:sz w:val="20"/>
          <w:szCs w:val="20"/>
          <w:lang w:eastAsia="it-IT"/>
        </w:rPr>
      </w:pPr>
      <w:r w:rsidRPr="008E0407">
        <w:rPr>
          <w:rFonts w:ascii="Arial" w:eastAsia="Times New Roman" w:hAnsi="Arial" w:cs="Arial"/>
          <w:sz w:val="20"/>
          <w:szCs w:val="20"/>
          <w:lang w:eastAsia="it-IT"/>
        </w:rPr>
        <w:t xml:space="preserve">Il valore delle mance </w:t>
      </w:r>
      <w:r>
        <w:rPr>
          <w:rFonts w:ascii="Arial" w:eastAsia="Times New Roman" w:hAnsi="Arial" w:cs="Arial"/>
          <w:sz w:val="20"/>
          <w:szCs w:val="20"/>
          <w:lang w:eastAsia="it-IT"/>
        </w:rPr>
        <w:t>p</w:t>
      </w:r>
      <w:r w:rsidRPr="008E0407">
        <w:rPr>
          <w:rFonts w:ascii="Arial" w:eastAsia="Times New Roman" w:hAnsi="Arial" w:cs="Arial"/>
          <w:sz w:val="20"/>
          <w:szCs w:val="20"/>
          <w:lang w:eastAsia="it-IT"/>
        </w:rPr>
        <w:t xml:space="preserve">er alcuni settori specifici dell’economia (alberghi, ristoranti, servizi alla persona) </w:t>
      </w:r>
      <w:r>
        <w:rPr>
          <w:rFonts w:ascii="Arial" w:eastAsia="Times New Roman" w:hAnsi="Arial" w:cs="Arial"/>
          <w:sz w:val="20"/>
          <w:szCs w:val="20"/>
          <w:lang w:eastAsia="it-IT"/>
        </w:rPr>
        <w:t>è stimato come percentuale del valore dei consumi dei relativi servizi.</w:t>
      </w:r>
    </w:p>
    <w:p w:rsidR="00A549BF" w:rsidRPr="00AF3D7F" w:rsidRDefault="00A549BF" w:rsidP="00A549BF">
      <w:pPr>
        <w:spacing w:after="120"/>
        <w:jc w:val="both"/>
        <w:rPr>
          <w:rFonts w:ascii="Arial" w:hAnsi="Arial" w:cs="Arial"/>
          <w:b/>
          <w:sz w:val="6"/>
        </w:rPr>
      </w:pPr>
      <w:r>
        <w:rPr>
          <w:rFonts w:ascii="Arial" w:hAnsi="Arial" w:cs="Arial"/>
          <w:sz w:val="20"/>
        </w:rPr>
        <w:t>La</w:t>
      </w:r>
      <w:r w:rsidRPr="008E0407">
        <w:rPr>
          <w:rFonts w:ascii="Arial" w:hAnsi="Arial" w:cs="Arial"/>
          <w:sz w:val="20"/>
        </w:rPr>
        <w:t xml:space="preserve"> stima del valore aggiunto </w:t>
      </w:r>
      <w:r>
        <w:rPr>
          <w:rFonts w:ascii="Arial" w:hAnsi="Arial" w:cs="Arial"/>
          <w:sz w:val="20"/>
        </w:rPr>
        <w:t xml:space="preserve">non osservato è ulteriormente integrata dal processo di </w:t>
      </w:r>
      <w:r w:rsidRPr="008E0407">
        <w:rPr>
          <w:rFonts w:ascii="Arial" w:hAnsi="Arial" w:cs="Arial"/>
          <w:sz w:val="20"/>
        </w:rPr>
        <w:t xml:space="preserve">riconciliazione fra le </w:t>
      </w:r>
      <w:r>
        <w:rPr>
          <w:rFonts w:ascii="Arial" w:hAnsi="Arial" w:cs="Arial"/>
          <w:sz w:val="20"/>
        </w:rPr>
        <w:t xml:space="preserve">misurazioni </w:t>
      </w:r>
      <w:r w:rsidRPr="008E0407">
        <w:rPr>
          <w:rFonts w:ascii="Arial" w:hAnsi="Arial" w:cs="Arial"/>
          <w:sz w:val="20"/>
        </w:rPr>
        <w:t>indipendenti dell’offerta e della domanda. Tale integrazione include, in proporzione non identificabile, sia effetti di carattere puramente statistico, sia componenti ascrivibili all’esistenza di una quota di economia sommersa non colta attraverso le procedure di correzione sin qui descritte.</w:t>
      </w:r>
    </w:p>
    <w:p w:rsidR="00A549BF" w:rsidRDefault="00A549BF" w:rsidP="00A549BF">
      <w:pPr>
        <w:spacing w:after="120"/>
        <w:jc w:val="both"/>
        <w:rPr>
          <w:rFonts w:ascii="Arial" w:hAnsi="Arial" w:cs="Arial"/>
          <w:b/>
          <w:sz w:val="20"/>
        </w:rPr>
      </w:pPr>
    </w:p>
    <w:p w:rsidR="00A549BF" w:rsidRPr="005528F5" w:rsidRDefault="00A549BF" w:rsidP="00A549BF">
      <w:pPr>
        <w:spacing w:after="120"/>
        <w:jc w:val="both"/>
        <w:rPr>
          <w:rFonts w:ascii="Arial" w:hAnsi="Arial" w:cs="Arial"/>
          <w:b/>
          <w:color w:val="1F497D"/>
          <w:sz w:val="22"/>
        </w:rPr>
      </w:pPr>
      <w:r w:rsidRPr="005528F5">
        <w:rPr>
          <w:rFonts w:ascii="Arial" w:hAnsi="Arial" w:cs="Arial"/>
          <w:b/>
          <w:color w:val="1F497D"/>
          <w:sz w:val="22"/>
        </w:rPr>
        <w:t xml:space="preserve">Le attività illegali </w:t>
      </w:r>
    </w:p>
    <w:p w:rsidR="00A549BF" w:rsidRPr="008E0407" w:rsidRDefault="00A549BF" w:rsidP="00A549BF">
      <w:pPr>
        <w:spacing w:after="120"/>
        <w:jc w:val="both"/>
        <w:rPr>
          <w:rFonts w:ascii="Arial" w:hAnsi="Arial" w:cs="Arial"/>
          <w:sz w:val="20"/>
          <w:vertAlign w:val="superscript"/>
        </w:rPr>
      </w:pPr>
      <w:r w:rsidRPr="008E0407">
        <w:rPr>
          <w:rFonts w:ascii="Arial" w:hAnsi="Arial" w:cs="Arial"/>
          <w:sz w:val="20"/>
        </w:rPr>
        <w:t xml:space="preserve">Seguendo le raccomandazioni di Eurostat, l’Istat ha sviluppato procedure di stima dell’economia illegale tenendo conto di tre attività: traffico di stupefacenti, </w:t>
      </w:r>
      <w:r>
        <w:rPr>
          <w:rFonts w:ascii="Arial" w:hAnsi="Arial" w:cs="Arial"/>
          <w:sz w:val="20"/>
        </w:rPr>
        <w:t xml:space="preserve">servizi di </w:t>
      </w:r>
      <w:r w:rsidRPr="008E0407">
        <w:rPr>
          <w:rFonts w:ascii="Arial" w:hAnsi="Arial" w:cs="Arial"/>
          <w:sz w:val="20"/>
        </w:rPr>
        <w:t xml:space="preserve">prostituzione e contrabbando di tabacco. </w:t>
      </w:r>
    </w:p>
    <w:p w:rsidR="00A549BF" w:rsidRPr="008E0407" w:rsidRDefault="00A549BF" w:rsidP="00A549BF">
      <w:pPr>
        <w:tabs>
          <w:tab w:val="num" w:pos="644"/>
        </w:tabs>
        <w:spacing w:after="120"/>
        <w:jc w:val="both"/>
        <w:rPr>
          <w:rFonts w:ascii="Arial" w:hAnsi="Arial" w:cs="Arial"/>
          <w:sz w:val="20"/>
        </w:rPr>
      </w:pPr>
      <w:r>
        <w:rPr>
          <w:rFonts w:ascii="Arial" w:hAnsi="Arial" w:cs="Arial"/>
          <w:sz w:val="20"/>
        </w:rPr>
        <w:t>In un contesto di caratterizzato da fonti informative poco stabili e spesso distorte</w:t>
      </w:r>
      <w:r w:rsidRPr="008E0407">
        <w:rPr>
          <w:rFonts w:ascii="Arial" w:hAnsi="Arial" w:cs="Arial"/>
          <w:sz w:val="20"/>
        </w:rPr>
        <w:t xml:space="preserve">, le procedure </w:t>
      </w:r>
      <w:r>
        <w:rPr>
          <w:rFonts w:ascii="Arial" w:hAnsi="Arial" w:cs="Arial"/>
          <w:sz w:val="20"/>
        </w:rPr>
        <w:t xml:space="preserve">di stima sono state sviluppate </w:t>
      </w:r>
      <w:r w:rsidRPr="008E0407">
        <w:rPr>
          <w:rFonts w:ascii="Arial" w:hAnsi="Arial" w:cs="Arial"/>
          <w:sz w:val="20"/>
        </w:rPr>
        <w:t>tenendo conto dei seguenti obiettivi: (1) coerenza nell’approccio metodologico con le raccomandazioni di Eurostat</w:t>
      </w:r>
      <w:r>
        <w:rPr>
          <w:rFonts w:ascii="Arial" w:hAnsi="Arial" w:cs="Arial"/>
          <w:sz w:val="20"/>
        </w:rPr>
        <w:t>;</w:t>
      </w:r>
      <w:r w:rsidRPr="008E0407">
        <w:rPr>
          <w:rFonts w:ascii="Arial" w:hAnsi="Arial" w:cs="Arial"/>
          <w:sz w:val="20"/>
        </w:rPr>
        <w:t xml:space="preserve"> (</w:t>
      </w:r>
      <w:r>
        <w:rPr>
          <w:rFonts w:ascii="Arial" w:hAnsi="Arial" w:cs="Arial"/>
          <w:sz w:val="20"/>
        </w:rPr>
        <w:t>2</w:t>
      </w:r>
      <w:r w:rsidRPr="008E0407">
        <w:rPr>
          <w:rFonts w:ascii="Arial" w:hAnsi="Arial" w:cs="Arial"/>
          <w:sz w:val="20"/>
        </w:rPr>
        <w:t xml:space="preserve">) identificazione e risoluzione, da un punto di vista sia teorico che applicato, di eventuali problemi metodologici e di misurazione </w:t>
      </w:r>
      <w:r>
        <w:rPr>
          <w:rFonts w:ascii="Arial" w:hAnsi="Arial" w:cs="Arial"/>
          <w:sz w:val="20"/>
        </w:rPr>
        <w:t xml:space="preserve">al fine della corretta rappresentazione </w:t>
      </w:r>
      <w:r w:rsidRPr="008E0407">
        <w:rPr>
          <w:rFonts w:ascii="Arial" w:hAnsi="Arial" w:cs="Arial"/>
          <w:sz w:val="20"/>
        </w:rPr>
        <w:t>delle attività illegali nel sistema dei conti.</w:t>
      </w:r>
    </w:p>
    <w:p w:rsidR="00A549BF" w:rsidRPr="008E0407" w:rsidRDefault="00A549BF" w:rsidP="00A549BF">
      <w:pPr>
        <w:spacing w:after="120"/>
        <w:jc w:val="both"/>
        <w:rPr>
          <w:rFonts w:ascii="Arial" w:eastAsia="Calibri" w:hAnsi="Arial" w:cs="Arial"/>
          <w:b/>
          <w:sz w:val="20"/>
        </w:rPr>
      </w:pPr>
      <w:r w:rsidRPr="008E0407">
        <w:rPr>
          <w:rFonts w:ascii="Arial" w:hAnsi="Arial" w:cs="Arial"/>
          <w:sz w:val="20"/>
        </w:rPr>
        <w:t>La</w:t>
      </w:r>
      <w:r>
        <w:rPr>
          <w:rFonts w:ascii="Arial" w:hAnsi="Arial" w:cs="Arial"/>
          <w:sz w:val="20"/>
        </w:rPr>
        <w:t xml:space="preserve"> misurazione </w:t>
      </w:r>
      <w:r w:rsidRPr="008E0407">
        <w:rPr>
          <w:rFonts w:ascii="Arial" w:hAnsi="Arial" w:cs="Arial"/>
          <w:sz w:val="20"/>
        </w:rPr>
        <w:t>delle attività illegali nel sistema dei conti presuppone</w:t>
      </w:r>
      <w:r>
        <w:rPr>
          <w:rFonts w:ascii="Arial" w:hAnsi="Arial" w:cs="Arial"/>
          <w:sz w:val="20"/>
        </w:rPr>
        <w:t>, d</w:t>
      </w:r>
      <w:r w:rsidRPr="008E0407">
        <w:rPr>
          <w:rFonts w:ascii="Arial" w:hAnsi="Arial" w:cs="Arial"/>
          <w:sz w:val="20"/>
        </w:rPr>
        <w:t xml:space="preserve">a una parte, </w:t>
      </w:r>
      <w:r>
        <w:rPr>
          <w:rFonts w:ascii="Arial" w:hAnsi="Arial" w:cs="Arial"/>
          <w:sz w:val="20"/>
        </w:rPr>
        <w:t>l’individuazione de</w:t>
      </w:r>
      <w:r w:rsidRPr="008E0407">
        <w:rPr>
          <w:rFonts w:ascii="Arial" w:hAnsi="Arial" w:cs="Arial"/>
          <w:sz w:val="20"/>
        </w:rPr>
        <w:t xml:space="preserve">gli aggregati economici </w:t>
      </w:r>
      <w:r>
        <w:rPr>
          <w:rFonts w:ascii="Arial" w:hAnsi="Arial" w:cs="Arial"/>
          <w:sz w:val="20"/>
        </w:rPr>
        <w:t xml:space="preserve">significativi per tipologia di attività </w:t>
      </w:r>
      <w:r w:rsidRPr="008E0407">
        <w:rPr>
          <w:rFonts w:ascii="Arial" w:hAnsi="Arial" w:cs="Arial"/>
          <w:sz w:val="20"/>
        </w:rPr>
        <w:t>(produzione, importazioni, consumi finali esportazioni, margini distributivi e costi intermedi)</w:t>
      </w:r>
      <w:r>
        <w:rPr>
          <w:rFonts w:ascii="Arial" w:hAnsi="Arial" w:cs="Arial"/>
          <w:sz w:val="20"/>
        </w:rPr>
        <w:t>,e d</w:t>
      </w:r>
      <w:r w:rsidRPr="008E0407">
        <w:rPr>
          <w:rFonts w:ascii="Arial" w:hAnsi="Arial" w:cs="Arial"/>
          <w:sz w:val="20"/>
        </w:rPr>
        <w:t xml:space="preserve">all’altra, </w:t>
      </w:r>
      <w:r>
        <w:rPr>
          <w:rFonts w:ascii="Arial" w:hAnsi="Arial" w:cs="Arial"/>
          <w:sz w:val="20"/>
        </w:rPr>
        <w:t xml:space="preserve">l’individuazione </w:t>
      </w:r>
      <w:r w:rsidRPr="008E0407">
        <w:rPr>
          <w:rFonts w:ascii="Arial" w:hAnsi="Arial" w:cs="Arial"/>
          <w:sz w:val="20"/>
        </w:rPr>
        <w:t xml:space="preserve">dell’interazione fra economia legale ed illegale all’interno del sistema dei conti nazionali (definizione dell’indotto) </w:t>
      </w:r>
      <w:r>
        <w:rPr>
          <w:rFonts w:ascii="Arial" w:hAnsi="Arial" w:cs="Arial"/>
          <w:sz w:val="20"/>
        </w:rPr>
        <w:t>in modo da evitare</w:t>
      </w:r>
      <w:r w:rsidRPr="008E0407">
        <w:rPr>
          <w:rFonts w:ascii="Arial" w:hAnsi="Arial" w:cs="Arial"/>
          <w:sz w:val="20"/>
        </w:rPr>
        <w:t xml:space="preserve"> distorsioni nelle stime complessive.</w:t>
      </w:r>
      <w:r w:rsidRPr="008E0407">
        <w:rPr>
          <w:rFonts w:ascii="Arial" w:hAnsi="Arial" w:cs="Arial"/>
          <w:sz w:val="20"/>
          <w:vertAlign w:val="superscript"/>
        </w:rPr>
        <w:footnoteReference w:id="11"/>
      </w:r>
    </w:p>
    <w:p w:rsidR="00C22712" w:rsidRDefault="00A549BF" w:rsidP="00A549BF">
      <w:pPr>
        <w:spacing w:after="120"/>
        <w:jc w:val="both"/>
        <w:rPr>
          <w:rFonts w:ascii="Arial" w:eastAsia="Calibri" w:hAnsi="Arial" w:cs="Arial"/>
          <w:sz w:val="20"/>
        </w:rPr>
      </w:pPr>
      <w:r w:rsidRPr="008E0407">
        <w:rPr>
          <w:rFonts w:ascii="Arial" w:eastAsia="Calibri" w:hAnsi="Arial" w:cs="Arial"/>
          <w:sz w:val="20"/>
        </w:rPr>
        <w:t>Per ognuna delle attività incluse nei conti, si è sviluppata una procedura</w:t>
      </w:r>
      <w:r>
        <w:rPr>
          <w:rFonts w:ascii="Arial" w:eastAsia="Calibri" w:hAnsi="Arial" w:cs="Arial"/>
          <w:sz w:val="20"/>
        </w:rPr>
        <w:t xml:space="preserve"> specifica</w:t>
      </w:r>
      <w:r w:rsidRPr="008E0407">
        <w:rPr>
          <w:rFonts w:ascii="Arial" w:eastAsia="Calibri" w:hAnsi="Arial" w:cs="Arial"/>
          <w:sz w:val="20"/>
        </w:rPr>
        <w:t>, tenendo conto sia della disponibilità (ed affidabilità) delle fonti informative, sia d</w:t>
      </w:r>
      <w:r>
        <w:rPr>
          <w:rFonts w:ascii="Arial" w:eastAsia="Calibri" w:hAnsi="Arial" w:cs="Arial"/>
          <w:sz w:val="20"/>
        </w:rPr>
        <w:t>elle</w:t>
      </w:r>
      <w:r w:rsidRPr="008E0407">
        <w:rPr>
          <w:rFonts w:ascii="Arial" w:eastAsia="Calibri" w:hAnsi="Arial" w:cs="Arial"/>
          <w:sz w:val="20"/>
        </w:rPr>
        <w:t xml:space="preserve"> raccomandazioni fornite da Eurostat, nonché di schemi teorici sviluppati dalla letteratura. </w:t>
      </w:r>
    </w:p>
    <w:p w:rsidR="00A3055A" w:rsidRDefault="00A3055A">
      <w:pPr>
        <w:rPr>
          <w:rFonts w:ascii="Arial" w:eastAsia="Calibri" w:hAnsi="Arial" w:cs="Arial"/>
          <w:sz w:val="20"/>
        </w:rPr>
      </w:pPr>
      <w:r>
        <w:rPr>
          <w:rFonts w:ascii="Arial" w:eastAsia="Calibri" w:hAnsi="Arial" w:cs="Arial"/>
          <w:sz w:val="20"/>
        </w:rPr>
        <w:br w:type="page"/>
      </w:r>
    </w:p>
    <w:p w:rsidR="00A549BF" w:rsidRPr="00721337" w:rsidRDefault="00A549BF" w:rsidP="00A549BF">
      <w:pPr>
        <w:spacing w:after="120"/>
        <w:jc w:val="both"/>
        <w:rPr>
          <w:rFonts w:ascii="Arial" w:hAnsi="Arial" w:cs="Arial"/>
          <w:color w:val="1F497D"/>
          <w:sz w:val="22"/>
        </w:rPr>
      </w:pPr>
      <w:r w:rsidRPr="00721337">
        <w:rPr>
          <w:rFonts w:ascii="Arial" w:hAnsi="Arial" w:cs="Arial"/>
          <w:color w:val="1F497D"/>
          <w:sz w:val="22"/>
        </w:rPr>
        <w:lastRenderedPageBreak/>
        <w:t>Il traffico di stupefacenti</w:t>
      </w:r>
    </w:p>
    <w:p w:rsidR="00A549BF" w:rsidRPr="008E0407" w:rsidRDefault="00A549BF" w:rsidP="00A549BF">
      <w:pPr>
        <w:spacing w:after="120"/>
        <w:jc w:val="both"/>
        <w:rPr>
          <w:rFonts w:ascii="Arial" w:eastAsia="Calibri" w:hAnsi="Arial" w:cs="Arial"/>
          <w:sz w:val="20"/>
        </w:rPr>
      </w:pPr>
      <w:r w:rsidRPr="008E0407">
        <w:rPr>
          <w:rFonts w:ascii="Arial" w:eastAsia="Calibri" w:hAnsi="Arial" w:cs="Arial"/>
          <w:sz w:val="20"/>
        </w:rPr>
        <w:t>L’approccio sviluppato per la stima degli aggregati relativi al traffico di stupefacenti è basato sulle informazioni relative alle componenti della domanda</w:t>
      </w:r>
      <w:r>
        <w:rPr>
          <w:rFonts w:ascii="Arial" w:eastAsia="Calibri" w:hAnsi="Arial" w:cs="Arial"/>
          <w:sz w:val="20"/>
        </w:rPr>
        <w:t>, le cui fonti informative sono considerate più affidabili</w:t>
      </w:r>
      <w:r w:rsidRPr="008E0407">
        <w:rPr>
          <w:rFonts w:ascii="Arial" w:eastAsia="Calibri" w:hAnsi="Arial" w:cs="Arial"/>
          <w:sz w:val="20"/>
        </w:rPr>
        <w:t xml:space="preserve">. </w:t>
      </w:r>
      <w:r>
        <w:rPr>
          <w:rFonts w:ascii="Arial" w:eastAsia="Calibri" w:hAnsi="Arial" w:cs="Arial"/>
          <w:sz w:val="20"/>
        </w:rPr>
        <w:t>L</w:t>
      </w:r>
      <w:r w:rsidRPr="008E0407">
        <w:rPr>
          <w:rFonts w:ascii="Arial" w:eastAsia="Calibri" w:hAnsi="Arial" w:cs="Arial"/>
          <w:sz w:val="20"/>
        </w:rPr>
        <w:t>a procedura sviluppata consente di stimare la quantità di stupefacenti consumata</w:t>
      </w:r>
      <w:r>
        <w:rPr>
          <w:rFonts w:ascii="Arial" w:eastAsia="Calibri" w:hAnsi="Arial" w:cs="Arial"/>
          <w:sz w:val="20"/>
        </w:rPr>
        <w:t xml:space="preserve"> nell’anno</w:t>
      </w:r>
      <w:r w:rsidRPr="008E0407">
        <w:rPr>
          <w:rFonts w:ascii="Arial" w:eastAsia="Calibri" w:hAnsi="Arial" w:cs="Arial"/>
          <w:sz w:val="20"/>
        </w:rPr>
        <w:t xml:space="preserve"> sul territorio nazionale </w:t>
      </w:r>
      <w:r>
        <w:rPr>
          <w:rFonts w:ascii="Arial" w:eastAsia="Calibri" w:hAnsi="Arial" w:cs="Arial"/>
          <w:sz w:val="20"/>
        </w:rPr>
        <w:t xml:space="preserve">in </w:t>
      </w:r>
      <w:r w:rsidRPr="008E0407">
        <w:rPr>
          <w:rFonts w:ascii="Arial" w:eastAsia="Calibri" w:hAnsi="Arial" w:cs="Arial"/>
          <w:sz w:val="20"/>
        </w:rPr>
        <w:t>base delle informazioni sul numero di consumatori per tipologia di sostanza</w:t>
      </w:r>
      <w:r w:rsidRPr="008E0407">
        <w:rPr>
          <w:rFonts w:ascii="Arial" w:eastAsia="Calibri" w:hAnsi="Arial" w:cs="Arial"/>
          <w:sz w:val="20"/>
          <w:vertAlign w:val="superscript"/>
        </w:rPr>
        <w:footnoteReference w:id="12"/>
      </w:r>
      <w:r w:rsidRPr="008E0407">
        <w:rPr>
          <w:rFonts w:ascii="Arial" w:eastAsia="Calibri" w:hAnsi="Arial" w:cs="Arial"/>
          <w:sz w:val="20"/>
        </w:rPr>
        <w:t xml:space="preserve"> e sulle abitudini di consumo (per tipologia di consumatore).</w:t>
      </w:r>
      <w:r w:rsidRPr="008E0407">
        <w:rPr>
          <w:rFonts w:ascii="Arial" w:eastAsia="Calibri" w:hAnsi="Arial" w:cs="Arial"/>
          <w:sz w:val="20"/>
          <w:vertAlign w:val="superscript"/>
        </w:rPr>
        <w:footnoteReference w:id="13"/>
      </w:r>
      <w:r w:rsidRPr="008E0407">
        <w:rPr>
          <w:rFonts w:ascii="Arial" w:eastAsia="Calibri" w:hAnsi="Arial" w:cs="Arial"/>
          <w:sz w:val="20"/>
        </w:rPr>
        <w:t xml:space="preserve"> Successivamente, la quantità di sostanze stupefacenti importate </w:t>
      </w:r>
      <w:r>
        <w:rPr>
          <w:rFonts w:ascii="Arial" w:eastAsia="Calibri" w:hAnsi="Arial" w:cs="Arial"/>
          <w:sz w:val="20"/>
        </w:rPr>
        <w:t xml:space="preserve">ed </w:t>
      </w:r>
      <w:r w:rsidRPr="008E0407">
        <w:rPr>
          <w:rFonts w:ascii="Arial" w:eastAsia="Calibri" w:hAnsi="Arial" w:cs="Arial"/>
          <w:sz w:val="20"/>
        </w:rPr>
        <w:t>esportat</w:t>
      </w:r>
      <w:r>
        <w:rPr>
          <w:rFonts w:ascii="Arial" w:eastAsia="Calibri" w:hAnsi="Arial" w:cs="Arial"/>
          <w:sz w:val="20"/>
        </w:rPr>
        <w:t>e</w:t>
      </w:r>
      <w:r w:rsidRPr="008E0407">
        <w:rPr>
          <w:rFonts w:ascii="Arial" w:eastAsia="Calibri" w:hAnsi="Arial" w:cs="Arial"/>
          <w:sz w:val="20"/>
          <w:vertAlign w:val="superscript"/>
        </w:rPr>
        <w:footnoteReference w:id="14"/>
      </w:r>
      <w:r>
        <w:rPr>
          <w:rFonts w:ascii="Arial" w:eastAsia="Calibri" w:hAnsi="Arial" w:cs="Arial"/>
          <w:sz w:val="20"/>
        </w:rPr>
        <w:t>vengono stimate tenendo conto</w:t>
      </w:r>
      <w:r w:rsidRPr="008E0407">
        <w:rPr>
          <w:rFonts w:ascii="Arial" w:eastAsia="Calibri" w:hAnsi="Arial" w:cs="Arial"/>
          <w:sz w:val="20"/>
        </w:rPr>
        <w:t xml:space="preserve"> del differente grado di purezza degli stupefacenti lungo la filiera. </w:t>
      </w:r>
      <w:r>
        <w:rPr>
          <w:rFonts w:ascii="Arial" w:eastAsia="Calibri" w:hAnsi="Arial" w:cs="Arial"/>
          <w:sz w:val="20"/>
        </w:rPr>
        <w:t>L</w:t>
      </w:r>
      <w:r w:rsidRPr="008E0407">
        <w:rPr>
          <w:rFonts w:ascii="Arial" w:eastAsia="Calibri" w:hAnsi="Arial" w:cs="Arial"/>
          <w:sz w:val="20"/>
        </w:rPr>
        <w:t>a stima in valore dei corrispondenti aggregati avviene tenendo conto dei prezzi di riferimento pubblicati dall’UNODC</w:t>
      </w:r>
      <w:r w:rsidRPr="008E0407">
        <w:rPr>
          <w:rStyle w:val="Rimandonotaapidipagina"/>
          <w:rFonts w:ascii="Arial" w:eastAsia="Calibri" w:hAnsi="Arial" w:cs="Arial"/>
          <w:sz w:val="20"/>
        </w:rPr>
        <w:footnoteReference w:id="15"/>
      </w:r>
      <w:r w:rsidRPr="008E0407">
        <w:rPr>
          <w:rFonts w:ascii="Arial" w:eastAsia="Calibri" w:hAnsi="Arial" w:cs="Arial"/>
          <w:sz w:val="20"/>
        </w:rPr>
        <w:t xml:space="preserve"> (prezzi internazionali) e dal Ministero degli Interni (prezzi all’ingrosso e al dettaglio).</w:t>
      </w:r>
      <w:r w:rsidRPr="008E0407">
        <w:rPr>
          <w:rFonts w:ascii="Arial" w:eastAsia="Calibri" w:hAnsi="Arial" w:cs="Arial"/>
          <w:sz w:val="20"/>
          <w:vertAlign w:val="superscript"/>
        </w:rPr>
        <w:footnoteReference w:id="16"/>
      </w:r>
    </w:p>
    <w:p w:rsidR="00A549BF" w:rsidRDefault="00A549BF" w:rsidP="00DB256D">
      <w:pPr>
        <w:spacing w:after="80"/>
        <w:jc w:val="both"/>
        <w:rPr>
          <w:rFonts w:ascii="Arial" w:eastAsia="Calibri" w:hAnsi="Arial" w:cs="Arial"/>
          <w:sz w:val="20"/>
        </w:rPr>
      </w:pPr>
      <w:r w:rsidRPr="008E0407">
        <w:rPr>
          <w:rFonts w:ascii="Arial" w:eastAsia="Calibri" w:hAnsi="Arial" w:cs="Arial"/>
          <w:sz w:val="20"/>
        </w:rPr>
        <w:t>La stima degli altri aggregati relativi ai processi di produzione (margini commerciali, costi intermedi e valore aggiunto) è effettuata tenendo conto di tre differenti livelli di attività lungo la filiera: commercio internazionale all'ingrosso, commercio nazionale all’ingrosso e vendita al dettaglio. Essi sono caratterizzati da una significativa differenza “tecnologica” e “funzionale”, che presuppone la necessità d</w:t>
      </w:r>
      <w:r w:rsidR="00633097">
        <w:rPr>
          <w:rFonts w:ascii="Arial" w:eastAsia="Calibri" w:hAnsi="Arial" w:cs="Arial"/>
          <w:sz w:val="20"/>
        </w:rPr>
        <w:t>i analisi separate</w:t>
      </w:r>
      <w:r w:rsidRPr="00633097">
        <w:rPr>
          <w:rFonts w:ascii="Arial" w:eastAsia="Calibri" w:hAnsi="Arial" w:cs="Arial"/>
          <w:sz w:val="20"/>
          <w:vertAlign w:val="superscript"/>
        </w:rPr>
        <w:footnoteReference w:id="17"/>
      </w:r>
      <w:r w:rsidR="00633097">
        <w:rPr>
          <w:rFonts w:ascii="Arial" w:eastAsia="Calibri" w:hAnsi="Arial" w:cs="Arial"/>
          <w:sz w:val="20"/>
        </w:rPr>
        <w:t>.</w:t>
      </w:r>
      <w:r w:rsidRPr="00633097">
        <w:rPr>
          <w:rFonts w:ascii="Arial" w:eastAsia="Calibri" w:hAnsi="Arial" w:cs="Arial"/>
          <w:sz w:val="20"/>
          <w:vertAlign w:val="superscript"/>
        </w:rPr>
        <w:t xml:space="preserve"> </w:t>
      </w:r>
      <w:r w:rsidRPr="008E0407">
        <w:rPr>
          <w:rFonts w:ascii="Arial" w:eastAsia="Calibri" w:hAnsi="Arial" w:cs="Arial"/>
          <w:sz w:val="20"/>
        </w:rPr>
        <w:t xml:space="preserve">Per ognuna delle differenti tipologie di attività </w:t>
      </w:r>
      <w:r>
        <w:rPr>
          <w:rFonts w:ascii="Arial" w:eastAsia="Calibri" w:hAnsi="Arial" w:cs="Arial"/>
          <w:sz w:val="20"/>
        </w:rPr>
        <w:t xml:space="preserve">sono </w:t>
      </w:r>
      <w:r w:rsidRPr="008E0407">
        <w:rPr>
          <w:rFonts w:ascii="Arial" w:eastAsia="Calibri" w:hAnsi="Arial" w:cs="Arial"/>
          <w:sz w:val="20"/>
        </w:rPr>
        <w:t>determinati il volume di produzione (in termini di margine commerciale), l’ammontare e la tipologia dei costi intermedi</w:t>
      </w:r>
      <w:r w:rsidRPr="00633097">
        <w:rPr>
          <w:rFonts w:ascii="Arial" w:eastAsia="Calibri" w:hAnsi="Arial" w:cs="Arial"/>
          <w:sz w:val="20"/>
          <w:vertAlign w:val="superscript"/>
        </w:rPr>
        <w:footnoteReference w:id="18"/>
      </w:r>
      <w:r w:rsidRPr="008E0407">
        <w:rPr>
          <w:rFonts w:ascii="Arial" w:eastAsia="Calibri" w:hAnsi="Arial" w:cs="Arial"/>
          <w:sz w:val="20"/>
        </w:rPr>
        <w:t xml:space="preserve"> (che riflettono le tecnologie di produzione) e il livello di valore aggiunto generato.</w:t>
      </w:r>
    </w:p>
    <w:p w:rsidR="00A549BF" w:rsidRPr="00DB256D" w:rsidRDefault="00A549BF" w:rsidP="00DB256D">
      <w:pPr>
        <w:spacing w:after="80"/>
        <w:jc w:val="both"/>
        <w:rPr>
          <w:rFonts w:ascii="Arial" w:eastAsia="Calibri" w:hAnsi="Arial" w:cs="Arial"/>
          <w:sz w:val="20"/>
        </w:rPr>
      </w:pPr>
    </w:p>
    <w:p w:rsidR="00A549BF" w:rsidRPr="00721337" w:rsidRDefault="00A549BF" w:rsidP="00A549BF">
      <w:pPr>
        <w:spacing w:after="120"/>
        <w:jc w:val="both"/>
        <w:rPr>
          <w:rFonts w:ascii="Arial" w:hAnsi="Arial" w:cs="Arial"/>
          <w:color w:val="1F497D"/>
          <w:sz w:val="22"/>
        </w:rPr>
      </w:pPr>
      <w:r w:rsidRPr="00721337">
        <w:rPr>
          <w:rFonts w:ascii="Arial" w:hAnsi="Arial" w:cs="Arial"/>
          <w:color w:val="1F497D"/>
          <w:sz w:val="22"/>
        </w:rPr>
        <w:t>I servizi di prostituzione</w:t>
      </w:r>
    </w:p>
    <w:p w:rsidR="00A549BF" w:rsidRDefault="00A549BF" w:rsidP="00A549BF">
      <w:pPr>
        <w:spacing w:after="80"/>
        <w:jc w:val="both"/>
        <w:rPr>
          <w:rFonts w:ascii="Arial" w:eastAsia="Calibri" w:hAnsi="Arial" w:cs="Arial"/>
          <w:sz w:val="20"/>
        </w:rPr>
      </w:pPr>
      <w:r w:rsidRPr="008E0407">
        <w:rPr>
          <w:rFonts w:ascii="Arial" w:eastAsia="Calibri" w:hAnsi="Arial" w:cs="Arial"/>
          <w:sz w:val="20"/>
        </w:rPr>
        <w:t xml:space="preserve">Per la stima dei servizi di prostituzione, Eurostat suggerisce l’utilizzo di un approccio basato sull’offerta. La metodologia di misurazione poggia sulla stima preliminare del numero di prostitute (distinte per tipologia del servizio: in strada, appartamento e night club), e </w:t>
      </w:r>
      <w:r>
        <w:rPr>
          <w:rFonts w:ascii="Arial" w:eastAsia="Calibri" w:hAnsi="Arial" w:cs="Arial"/>
          <w:sz w:val="20"/>
        </w:rPr>
        <w:t>sulla</w:t>
      </w:r>
      <w:r w:rsidRPr="008E0407">
        <w:rPr>
          <w:rFonts w:ascii="Arial" w:eastAsia="Calibri" w:hAnsi="Arial" w:cs="Arial"/>
          <w:sz w:val="20"/>
        </w:rPr>
        <w:t xml:space="preserve"> attribuzione</w:t>
      </w:r>
      <w:r>
        <w:rPr>
          <w:rFonts w:ascii="Arial" w:eastAsia="Calibri" w:hAnsi="Arial" w:cs="Arial"/>
          <w:sz w:val="20"/>
        </w:rPr>
        <w:t>,</w:t>
      </w:r>
      <w:r w:rsidR="00633097">
        <w:rPr>
          <w:rFonts w:ascii="Arial" w:eastAsia="Calibri" w:hAnsi="Arial" w:cs="Arial"/>
          <w:sz w:val="20"/>
        </w:rPr>
        <w:t xml:space="preserve"> </w:t>
      </w:r>
      <w:r>
        <w:rPr>
          <w:rFonts w:ascii="Arial" w:eastAsia="Calibri" w:hAnsi="Arial" w:cs="Arial"/>
          <w:sz w:val="20"/>
        </w:rPr>
        <w:t xml:space="preserve">per tipologia di servizio, </w:t>
      </w:r>
      <w:r w:rsidRPr="008E0407">
        <w:rPr>
          <w:rFonts w:ascii="Arial" w:eastAsia="Calibri" w:hAnsi="Arial" w:cs="Arial"/>
          <w:sz w:val="20"/>
        </w:rPr>
        <w:t>di un numero</w:t>
      </w:r>
      <w:r>
        <w:rPr>
          <w:rFonts w:ascii="Arial" w:eastAsia="Calibri" w:hAnsi="Arial" w:cs="Arial"/>
          <w:sz w:val="20"/>
        </w:rPr>
        <w:t xml:space="preserve"> medio</w:t>
      </w:r>
      <w:r w:rsidRPr="008E0407">
        <w:rPr>
          <w:rFonts w:ascii="Arial" w:eastAsia="Calibri" w:hAnsi="Arial" w:cs="Arial"/>
          <w:sz w:val="20"/>
        </w:rPr>
        <w:t xml:space="preserve"> di prestazioni giornaliere e di giornate lavorate. L’elaborazione di queste informazioni consente di determinare il numero complessivo delle prestazioni offerte sul mercato interno.</w:t>
      </w:r>
      <w:r w:rsidRPr="008E0407">
        <w:rPr>
          <w:rFonts w:ascii="Arial" w:eastAsia="Calibri" w:hAnsi="Arial" w:cs="Arial"/>
          <w:sz w:val="20"/>
          <w:vertAlign w:val="superscript"/>
        </w:rPr>
        <w:footnoteReference w:id="19"/>
      </w:r>
      <w:r w:rsidRPr="008E0407">
        <w:rPr>
          <w:rFonts w:ascii="Arial" w:eastAsia="Calibri" w:hAnsi="Arial" w:cs="Arial"/>
          <w:sz w:val="20"/>
        </w:rPr>
        <w:t xml:space="preserve"> Il valore del servizio offerto è determinato utilizzando i prezzi praticati in base alla tipologia del servizio.</w:t>
      </w:r>
      <w:r w:rsidRPr="008E0407">
        <w:rPr>
          <w:rFonts w:ascii="Arial" w:eastAsia="Calibri" w:hAnsi="Arial" w:cs="Arial"/>
          <w:sz w:val="20"/>
          <w:vertAlign w:val="superscript"/>
        </w:rPr>
        <w:footnoteReference w:id="20"/>
      </w:r>
      <w:r w:rsidRPr="008E0407">
        <w:rPr>
          <w:rFonts w:ascii="Arial" w:eastAsia="Calibri" w:hAnsi="Arial" w:cs="Arial"/>
          <w:sz w:val="20"/>
        </w:rPr>
        <w:t xml:space="preserve"> Essendo esclusa, </w:t>
      </w:r>
      <w:r>
        <w:rPr>
          <w:rFonts w:ascii="Arial" w:eastAsia="Calibri" w:hAnsi="Arial" w:cs="Arial"/>
          <w:sz w:val="20"/>
        </w:rPr>
        <w:t>a priori</w:t>
      </w:r>
      <w:r w:rsidRPr="008E0407">
        <w:rPr>
          <w:rFonts w:ascii="Arial" w:eastAsia="Calibri" w:hAnsi="Arial" w:cs="Arial"/>
          <w:sz w:val="20"/>
        </w:rPr>
        <w:t>, l’importazione e l’esportazione di tali servizi</w:t>
      </w:r>
      <w:r>
        <w:rPr>
          <w:rFonts w:ascii="Arial" w:eastAsia="Calibri" w:hAnsi="Arial" w:cs="Arial"/>
          <w:sz w:val="20"/>
        </w:rPr>
        <w:t xml:space="preserve"> in quanto ritenute non significative</w:t>
      </w:r>
      <w:r w:rsidRPr="008E0407">
        <w:rPr>
          <w:rFonts w:ascii="Arial" w:eastAsia="Calibri" w:hAnsi="Arial" w:cs="Arial"/>
          <w:sz w:val="20"/>
        </w:rPr>
        <w:t>, l’ammontare d</w:t>
      </w:r>
      <w:r>
        <w:rPr>
          <w:rFonts w:ascii="Arial" w:eastAsia="Calibri" w:hAnsi="Arial" w:cs="Arial"/>
          <w:sz w:val="20"/>
        </w:rPr>
        <w:t>el</w:t>
      </w:r>
      <w:r w:rsidRPr="008E0407">
        <w:rPr>
          <w:rFonts w:ascii="Arial" w:eastAsia="Calibri" w:hAnsi="Arial" w:cs="Arial"/>
          <w:sz w:val="20"/>
        </w:rPr>
        <w:t xml:space="preserve"> consumo interno </w:t>
      </w:r>
      <w:r>
        <w:rPr>
          <w:rFonts w:ascii="Arial" w:eastAsia="Calibri" w:hAnsi="Arial" w:cs="Arial"/>
          <w:sz w:val="20"/>
        </w:rPr>
        <w:t xml:space="preserve">è posto pari alla produzione </w:t>
      </w:r>
      <w:r w:rsidRPr="008E0407">
        <w:rPr>
          <w:rFonts w:ascii="Arial" w:eastAsia="Calibri" w:hAnsi="Arial" w:cs="Arial"/>
          <w:sz w:val="20"/>
        </w:rPr>
        <w:t xml:space="preserve">, mentre il valore aggiunto generato dall’attività viene determinato sottraendo </w:t>
      </w:r>
      <w:r>
        <w:rPr>
          <w:rFonts w:ascii="Arial" w:eastAsia="Calibri" w:hAnsi="Arial" w:cs="Arial"/>
          <w:sz w:val="20"/>
        </w:rPr>
        <w:t>d</w:t>
      </w:r>
      <w:r w:rsidRPr="008E0407">
        <w:rPr>
          <w:rFonts w:ascii="Arial" w:eastAsia="Calibri" w:hAnsi="Arial" w:cs="Arial"/>
          <w:sz w:val="20"/>
        </w:rPr>
        <w:t>alla produzione una quota di costi intermedi</w:t>
      </w:r>
      <w:r>
        <w:rPr>
          <w:rFonts w:ascii="Arial" w:eastAsia="Calibri" w:hAnsi="Arial" w:cs="Arial"/>
          <w:sz w:val="20"/>
        </w:rPr>
        <w:t xml:space="preserve"> connessi a tale attività produttiva</w:t>
      </w:r>
      <w:r w:rsidRPr="008E0407">
        <w:rPr>
          <w:rFonts w:ascii="Arial" w:eastAsia="Calibri" w:hAnsi="Arial" w:cs="Arial"/>
          <w:sz w:val="20"/>
        </w:rPr>
        <w:t>.</w:t>
      </w:r>
    </w:p>
    <w:p w:rsidR="00F87E4E" w:rsidRDefault="00F87E4E" w:rsidP="00A549BF">
      <w:pPr>
        <w:spacing w:after="120"/>
        <w:jc w:val="both"/>
        <w:rPr>
          <w:rFonts w:ascii="Arial" w:hAnsi="Arial" w:cs="Arial"/>
          <w:color w:val="1F497D"/>
          <w:sz w:val="22"/>
        </w:rPr>
      </w:pPr>
    </w:p>
    <w:p w:rsidR="00A549BF" w:rsidRPr="00721337" w:rsidRDefault="00A549BF" w:rsidP="00A549BF">
      <w:pPr>
        <w:spacing w:after="120"/>
        <w:jc w:val="both"/>
        <w:rPr>
          <w:rFonts w:ascii="Arial" w:hAnsi="Arial" w:cs="Arial"/>
          <w:color w:val="1F497D"/>
          <w:sz w:val="22"/>
        </w:rPr>
      </w:pPr>
      <w:r w:rsidRPr="00721337">
        <w:rPr>
          <w:rFonts w:ascii="Arial" w:hAnsi="Arial" w:cs="Arial"/>
          <w:color w:val="1F497D"/>
          <w:sz w:val="22"/>
        </w:rPr>
        <w:t>Il contrabbando di tabacco</w:t>
      </w:r>
    </w:p>
    <w:p w:rsidR="00A549BF" w:rsidRPr="008E0407" w:rsidRDefault="00A549BF" w:rsidP="00A549BF">
      <w:pPr>
        <w:spacing w:after="80"/>
        <w:jc w:val="both"/>
        <w:rPr>
          <w:rFonts w:ascii="Arial" w:eastAsia="Calibri" w:hAnsi="Arial" w:cs="Arial"/>
          <w:sz w:val="20"/>
        </w:rPr>
      </w:pPr>
      <w:r w:rsidRPr="008E0407">
        <w:rPr>
          <w:rFonts w:ascii="Arial" w:eastAsia="Calibri" w:hAnsi="Arial" w:cs="Arial"/>
          <w:sz w:val="20"/>
        </w:rPr>
        <w:t>Per la stima dell’attività di contrabbando di tabacco, Eurostat suggerisce l’utilizzo di indicatori di domanda che si basano sulla popolazione fumatrice e sulle abitudini di consumo (simile, dunque, a quello consigliato per il traffico di stupefacenti).  Si è</w:t>
      </w:r>
      <w:r>
        <w:rPr>
          <w:rFonts w:ascii="Arial" w:eastAsia="Calibri" w:hAnsi="Arial" w:cs="Arial"/>
          <w:sz w:val="20"/>
        </w:rPr>
        <w:t>,</w:t>
      </w:r>
      <w:r w:rsidRPr="008E0407">
        <w:rPr>
          <w:rFonts w:ascii="Arial" w:eastAsia="Calibri" w:hAnsi="Arial" w:cs="Arial"/>
          <w:sz w:val="20"/>
        </w:rPr>
        <w:t xml:space="preserve"> tuttavia deciso</w:t>
      </w:r>
      <w:r>
        <w:rPr>
          <w:rFonts w:ascii="Arial" w:eastAsia="Calibri" w:hAnsi="Arial" w:cs="Arial"/>
          <w:sz w:val="20"/>
        </w:rPr>
        <w:t>,</w:t>
      </w:r>
      <w:r w:rsidRPr="008E0407">
        <w:rPr>
          <w:rFonts w:ascii="Arial" w:eastAsia="Calibri" w:hAnsi="Arial" w:cs="Arial"/>
          <w:sz w:val="20"/>
        </w:rPr>
        <w:t xml:space="preserve"> di sviluppare un approccio dal lato dell’offerta, in quanto le indagini disponibili</w:t>
      </w:r>
      <w:r>
        <w:rPr>
          <w:rFonts w:ascii="Arial" w:eastAsia="Calibri" w:hAnsi="Arial" w:cs="Arial"/>
          <w:sz w:val="20"/>
        </w:rPr>
        <w:t xml:space="preserve"> sulla popolazione fumatrice</w:t>
      </w:r>
      <w:r w:rsidRPr="008E0407">
        <w:rPr>
          <w:rFonts w:ascii="Arial" w:eastAsia="Calibri" w:hAnsi="Arial" w:cs="Arial"/>
          <w:sz w:val="20"/>
          <w:vertAlign w:val="superscript"/>
        </w:rPr>
        <w:footnoteReference w:id="21"/>
      </w:r>
      <w:r w:rsidRPr="008E0407">
        <w:rPr>
          <w:rFonts w:ascii="Arial" w:eastAsia="Calibri" w:hAnsi="Arial" w:cs="Arial"/>
          <w:sz w:val="20"/>
        </w:rPr>
        <w:t xml:space="preserve"> sembrano sottostimare l’incidenza </w:t>
      </w:r>
      <w:r>
        <w:rPr>
          <w:rFonts w:ascii="Arial" w:eastAsia="Calibri" w:hAnsi="Arial" w:cs="Arial"/>
          <w:sz w:val="20"/>
        </w:rPr>
        <w:t>del</w:t>
      </w:r>
      <w:r w:rsidR="00710108">
        <w:rPr>
          <w:rFonts w:ascii="Arial" w:eastAsia="Calibri" w:hAnsi="Arial" w:cs="Arial"/>
          <w:sz w:val="20"/>
        </w:rPr>
        <w:t xml:space="preserve"> </w:t>
      </w:r>
      <w:r>
        <w:rPr>
          <w:rFonts w:ascii="Arial" w:eastAsia="Calibri" w:hAnsi="Arial" w:cs="Arial"/>
          <w:sz w:val="20"/>
        </w:rPr>
        <w:t xml:space="preserve">fenomeno se confrontati con </w:t>
      </w:r>
      <w:r w:rsidRPr="008E0407">
        <w:rPr>
          <w:rFonts w:ascii="Arial" w:eastAsia="Calibri" w:hAnsi="Arial" w:cs="Arial"/>
          <w:sz w:val="20"/>
        </w:rPr>
        <w:t>quelli forniti da altre fonti sulle vendite ufficiali</w:t>
      </w:r>
      <w:r w:rsidRPr="008E0407">
        <w:rPr>
          <w:rFonts w:ascii="Arial" w:eastAsia="Calibri" w:hAnsi="Arial" w:cs="Arial"/>
          <w:sz w:val="20"/>
          <w:vertAlign w:val="superscript"/>
        </w:rPr>
        <w:footnoteReference w:id="22"/>
      </w:r>
      <w:r w:rsidRPr="008E0407">
        <w:rPr>
          <w:rFonts w:ascii="Arial" w:eastAsia="Calibri" w:hAnsi="Arial" w:cs="Arial"/>
          <w:sz w:val="20"/>
        </w:rPr>
        <w:t xml:space="preserve">. </w:t>
      </w:r>
    </w:p>
    <w:p w:rsidR="00A549BF" w:rsidRDefault="00A549BF" w:rsidP="00A549BF">
      <w:pPr>
        <w:spacing w:after="80"/>
        <w:jc w:val="both"/>
        <w:rPr>
          <w:rFonts w:ascii="Arial" w:eastAsia="Calibri" w:hAnsi="Arial" w:cs="Arial"/>
          <w:sz w:val="20"/>
        </w:rPr>
      </w:pPr>
      <w:r>
        <w:rPr>
          <w:rFonts w:ascii="Arial" w:eastAsia="Calibri" w:hAnsi="Arial" w:cs="Arial"/>
          <w:sz w:val="20"/>
        </w:rPr>
        <w:t>L</w:t>
      </w:r>
      <w:r w:rsidRPr="008E0407">
        <w:rPr>
          <w:rFonts w:ascii="Arial" w:eastAsia="Calibri" w:hAnsi="Arial" w:cs="Arial"/>
          <w:sz w:val="20"/>
        </w:rPr>
        <w:t xml:space="preserve">a procedura di stima </w:t>
      </w:r>
      <w:r>
        <w:rPr>
          <w:rFonts w:ascii="Arial" w:eastAsia="Calibri" w:hAnsi="Arial" w:cs="Arial"/>
          <w:sz w:val="20"/>
        </w:rPr>
        <w:t>utilizza le</w:t>
      </w:r>
      <w:r w:rsidRPr="008E0407">
        <w:rPr>
          <w:rFonts w:ascii="Arial" w:eastAsia="Calibri" w:hAnsi="Arial" w:cs="Arial"/>
          <w:sz w:val="20"/>
        </w:rPr>
        <w:t xml:space="preserve"> informazioni sulle quantità di merce sequestrata</w:t>
      </w:r>
      <w:r>
        <w:rPr>
          <w:rFonts w:ascii="Arial" w:eastAsia="Calibri" w:hAnsi="Arial" w:cs="Arial"/>
          <w:sz w:val="20"/>
        </w:rPr>
        <w:t>,</w:t>
      </w:r>
      <w:r w:rsidRPr="008E0407">
        <w:rPr>
          <w:rFonts w:ascii="Arial" w:eastAsia="Calibri" w:hAnsi="Arial" w:cs="Arial"/>
          <w:sz w:val="20"/>
          <w:vertAlign w:val="superscript"/>
        </w:rPr>
        <w:footnoteReference w:id="23"/>
      </w:r>
      <w:r w:rsidR="00165F0B">
        <w:rPr>
          <w:rFonts w:ascii="Arial" w:eastAsia="Calibri" w:hAnsi="Arial" w:cs="Arial"/>
          <w:sz w:val="20"/>
        </w:rPr>
        <w:t xml:space="preserve"> </w:t>
      </w:r>
      <w:r>
        <w:rPr>
          <w:rFonts w:ascii="Arial" w:eastAsia="Calibri" w:hAnsi="Arial" w:cs="Arial"/>
          <w:sz w:val="20"/>
        </w:rPr>
        <w:t xml:space="preserve">tenendo in considerazione tre tipologie di prodotto: </w:t>
      </w:r>
      <w:r w:rsidRPr="008E0407">
        <w:rPr>
          <w:rFonts w:ascii="Arial" w:eastAsia="Calibri" w:hAnsi="Arial" w:cs="Arial"/>
          <w:sz w:val="20"/>
        </w:rPr>
        <w:t xml:space="preserve">(1) sigarette originali </w:t>
      </w:r>
      <w:r w:rsidRPr="00216492">
        <w:rPr>
          <w:rFonts w:ascii="Arial" w:eastAsia="Calibri" w:hAnsi="Arial" w:cs="Arial"/>
          <w:sz w:val="20"/>
        </w:rPr>
        <w:t xml:space="preserve">fabbricate da multinazionali titolari del marchio e </w:t>
      </w:r>
      <w:r w:rsidRPr="008E0407">
        <w:rPr>
          <w:rFonts w:ascii="Arial" w:eastAsia="Calibri" w:hAnsi="Arial" w:cs="Arial"/>
          <w:sz w:val="20"/>
        </w:rPr>
        <w:t>importate</w:t>
      </w:r>
      <w:r>
        <w:rPr>
          <w:rFonts w:ascii="Arial" w:eastAsia="Calibri" w:hAnsi="Arial" w:cs="Arial"/>
          <w:sz w:val="20"/>
        </w:rPr>
        <w:t>,</w:t>
      </w:r>
      <w:r w:rsidRPr="008E0407">
        <w:rPr>
          <w:rFonts w:ascii="Arial" w:eastAsia="Calibri" w:hAnsi="Arial" w:cs="Arial"/>
          <w:sz w:val="20"/>
        </w:rPr>
        <w:t xml:space="preserve"> oltre il limite stabilito o attraverso una filier</w:t>
      </w:r>
      <w:r>
        <w:rPr>
          <w:rFonts w:ascii="Arial" w:eastAsia="Calibri" w:hAnsi="Arial" w:cs="Arial"/>
          <w:sz w:val="20"/>
        </w:rPr>
        <w:t>e</w:t>
      </w:r>
      <w:r w:rsidRPr="008E0407">
        <w:rPr>
          <w:rFonts w:ascii="Arial" w:eastAsia="Calibri" w:hAnsi="Arial" w:cs="Arial"/>
          <w:sz w:val="20"/>
        </w:rPr>
        <w:t xml:space="preserve"> illegal</w:t>
      </w:r>
      <w:r>
        <w:rPr>
          <w:rFonts w:ascii="Arial" w:eastAsia="Calibri" w:hAnsi="Arial" w:cs="Arial"/>
          <w:sz w:val="20"/>
        </w:rPr>
        <w:t>i</w:t>
      </w:r>
      <w:r w:rsidRPr="008E0407">
        <w:rPr>
          <w:rFonts w:ascii="Arial" w:eastAsia="Calibri" w:hAnsi="Arial" w:cs="Arial"/>
          <w:sz w:val="20"/>
        </w:rPr>
        <w:t>; (2) “cheap white”, ovvero sigarette fabbricate</w:t>
      </w:r>
      <w:r>
        <w:rPr>
          <w:rFonts w:ascii="Arial" w:eastAsia="Calibri" w:hAnsi="Arial" w:cs="Arial"/>
          <w:sz w:val="20"/>
        </w:rPr>
        <w:t xml:space="preserve"> e </w:t>
      </w:r>
      <w:r w:rsidRPr="00216492">
        <w:rPr>
          <w:rFonts w:ascii="Arial" w:eastAsia="Calibri" w:hAnsi="Arial" w:cs="Arial"/>
          <w:sz w:val="20"/>
        </w:rPr>
        <w:t>vendute legalmente</w:t>
      </w:r>
      <w:r w:rsidRPr="008E0407">
        <w:rPr>
          <w:rFonts w:ascii="Arial" w:eastAsia="Calibri" w:hAnsi="Arial" w:cs="Arial"/>
          <w:sz w:val="20"/>
        </w:rPr>
        <w:t xml:space="preserve"> in paesi fuori dall’Unione Europea</w:t>
      </w:r>
      <w:r w:rsidRPr="00216492">
        <w:rPr>
          <w:rFonts w:ascii="Arial" w:eastAsia="Calibri" w:hAnsi="Arial" w:cs="Arial"/>
          <w:sz w:val="20"/>
        </w:rPr>
        <w:t xml:space="preserve">, per le quali non c’è una domanda interna a quei paesi sufficiente a giustificare i livelli di </w:t>
      </w:r>
      <w:r w:rsidRPr="00216492">
        <w:rPr>
          <w:rFonts w:ascii="Arial" w:eastAsia="Calibri" w:hAnsi="Arial" w:cs="Arial"/>
          <w:sz w:val="20"/>
        </w:rPr>
        <w:lastRenderedPageBreak/>
        <w:t>produzione</w:t>
      </w:r>
      <w:r w:rsidRPr="008E0407">
        <w:rPr>
          <w:rFonts w:ascii="Arial" w:eastAsia="Calibri" w:hAnsi="Arial" w:cs="Arial"/>
          <w:sz w:val="20"/>
        </w:rPr>
        <w:t>; (3) sigarette contraffatte, che riportano marchi senza il permesso del proprietario</w:t>
      </w:r>
      <w:r w:rsidR="00800A60">
        <w:rPr>
          <w:rFonts w:ascii="Arial" w:eastAsia="Calibri" w:hAnsi="Arial" w:cs="Arial"/>
          <w:sz w:val="20"/>
        </w:rPr>
        <w:t xml:space="preserve"> </w:t>
      </w:r>
      <w:r w:rsidRPr="00216492">
        <w:rPr>
          <w:rFonts w:ascii="Arial" w:eastAsia="Calibri" w:hAnsi="Arial" w:cs="Arial"/>
          <w:sz w:val="20"/>
        </w:rPr>
        <w:t>e che, il più delle volte, sono prodotte in paesi caratterizzati da un basso costo del lavoro e dalla presenza di forti economie di scala nella lavorazione del tabacco</w:t>
      </w:r>
      <w:r w:rsidRPr="008E0407">
        <w:rPr>
          <w:rFonts w:ascii="Arial" w:eastAsia="Calibri" w:hAnsi="Arial" w:cs="Arial"/>
          <w:sz w:val="20"/>
        </w:rPr>
        <w:t xml:space="preserve">. </w:t>
      </w:r>
    </w:p>
    <w:p w:rsidR="00A549BF" w:rsidRDefault="00A549BF" w:rsidP="00A549BF">
      <w:pPr>
        <w:spacing w:after="80"/>
        <w:jc w:val="both"/>
        <w:rPr>
          <w:rFonts w:ascii="Arial" w:eastAsia="Calibri" w:hAnsi="Arial" w:cs="Arial"/>
          <w:sz w:val="20"/>
        </w:rPr>
      </w:pPr>
      <w:r w:rsidRPr="008E0407">
        <w:rPr>
          <w:rFonts w:ascii="Arial" w:eastAsia="Calibri" w:hAnsi="Arial" w:cs="Arial"/>
          <w:sz w:val="20"/>
        </w:rPr>
        <w:t xml:space="preserve">Valutando </w:t>
      </w:r>
      <w:r>
        <w:rPr>
          <w:rFonts w:ascii="Arial" w:eastAsia="Calibri" w:hAnsi="Arial" w:cs="Arial"/>
          <w:sz w:val="20"/>
        </w:rPr>
        <w:t xml:space="preserve">non significativa </w:t>
      </w:r>
      <w:r w:rsidRPr="008E0407">
        <w:rPr>
          <w:rFonts w:ascii="Arial" w:eastAsia="Calibri" w:hAnsi="Arial" w:cs="Arial"/>
          <w:sz w:val="20"/>
        </w:rPr>
        <w:t>la produzione interna, le quantità vendute sono interamente importate mentre si ipotizza che le esportazioni siano nulle. Il passaggio dalle quantità ai valori viene effettuato applicando un prezzo di vendita calcolato a partire dai prezzi al consumo dei prodotti legali.</w:t>
      </w:r>
      <w:r w:rsidRPr="008E0407">
        <w:rPr>
          <w:rFonts w:ascii="Arial" w:eastAsia="Calibri" w:hAnsi="Arial" w:cs="Arial"/>
          <w:sz w:val="20"/>
          <w:vertAlign w:val="superscript"/>
        </w:rPr>
        <w:footnoteReference w:id="24"/>
      </w:r>
      <w:r w:rsidRPr="008E0407">
        <w:rPr>
          <w:rFonts w:ascii="Arial" w:eastAsia="Calibri" w:hAnsi="Arial" w:cs="Arial"/>
          <w:sz w:val="20"/>
        </w:rPr>
        <w:t xml:space="preserve"> Ipotizzando che i costi intermedi rappresentino una quota del fatturato, è quindi possibile determinare l’ammontare di valore aggiunto, a partire valore della produzione (</w:t>
      </w:r>
      <w:r w:rsidRPr="008E0407">
        <w:rPr>
          <w:rFonts w:ascii="Arial" w:eastAsiaTheme="minorHAnsi" w:hAnsi="Arial" w:cs="Arial"/>
          <w:sz w:val="20"/>
        </w:rPr>
        <w:t>pari al valore della merce venduta meno il valore delle importazioni</w:t>
      </w:r>
      <w:r w:rsidRPr="008E0407">
        <w:rPr>
          <w:rFonts w:ascii="Arial" w:eastAsia="Calibri" w:hAnsi="Arial" w:cs="Arial"/>
          <w:sz w:val="20"/>
        </w:rPr>
        <w:t xml:space="preserve">). </w:t>
      </w:r>
    </w:p>
    <w:p w:rsidR="006350E4" w:rsidRDefault="006350E4" w:rsidP="00A549BF">
      <w:pPr>
        <w:spacing w:after="80"/>
        <w:jc w:val="both"/>
        <w:rPr>
          <w:rFonts w:ascii="Arial" w:eastAsia="Calibri" w:hAnsi="Arial" w:cs="Arial"/>
          <w:sz w:val="20"/>
        </w:rPr>
      </w:pPr>
    </w:p>
    <w:p w:rsidR="006350E4" w:rsidRDefault="006350E4" w:rsidP="006350E4">
      <w:pPr>
        <w:spacing w:after="120"/>
        <w:jc w:val="both"/>
        <w:rPr>
          <w:rFonts w:ascii="Arial" w:hAnsi="Arial" w:cs="Arial"/>
          <w:b/>
          <w:color w:val="1F497D"/>
          <w:sz w:val="22"/>
        </w:rPr>
      </w:pPr>
      <w:r>
        <w:rPr>
          <w:rFonts w:ascii="Arial" w:hAnsi="Arial" w:cs="Arial"/>
          <w:b/>
          <w:color w:val="1F497D"/>
          <w:sz w:val="22"/>
        </w:rPr>
        <w:t>Principali fonti informative</w:t>
      </w:r>
    </w:p>
    <w:p w:rsidR="006350E4" w:rsidRDefault="006350E4" w:rsidP="006350E4">
      <w:pPr>
        <w:spacing w:after="80"/>
        <w:jc w:val="both"/>
        <w:rPr>
          <w:rFonts w:ascii="Arial" w:eastAsia="Calibri" w:hAnsi="Arial" w:cs="Arial"/>
          <w:sz w:val="20"/>
        </w:rPr>
      </w:pPr>
      <w:r w:rsidRPr="00BD0776">
        <w:rPr>
          <w:rFonts w:ascii="Arial" w:eastAsia="Calibri" w:hAnsi="Arial" w:cs="Arial"/>
          <w:sz w:val="20"/>
        </w:rPr>
        <w:t>Frame SBS - Sistema informativo sui risultati economici delle imprese - Sistema informativo statistico che</w:t>
      </w:r>
      <w:r w:rsidR="00F03196">
        <w:rPr>
          <w:rFonts w:ascii="Arial" w:eastAsia="Calibri" w:hAnsi="Arial" w:cs="Arial"/>
          <w:sz w:val="20"/>
        </w:rPr>
        <w:t xml:space="preserve"> </w:t>
      </w:r>
      <w:r w:rsidRPr="00BD0776">
        <w:rPr>
          <w:rFonts w:ascii="Arial" w:eastAsia="Calibri" w:hAnsi="Arial" w:cs="Arial"/>
          <w:sz w:val="20"/>
        </w:rPr>
        <w:t>include i principali dati economici annuali su tutte le imprese attive (circa 4,4 milioni di unità). Il sistema sfrutta in</w:t>
      </w:r>
      <w:r w:rsidR="00F03196">
        <w:rPr>
          <w:rFonts w:ascii="Arial" w:eastAsia="Calibri" w:hAnsi="Arial" w:cs="Arial"/>
          <w:sz w:val="20"/>
        </w:rPr>
        <w:t xml:space="preserve"> </w:t>
      </w:r>
      <w:r w:rsidRPr="00BD0776">
        <w:rPr>
          <w:rFonts w:ascii="Arial" w:eastAsia="Calibri" w:hAnsi="Arial" w:cs="Arial"/>
          <w:sz w:val="20"/>
        </w:rPr>
        <w:t>maniera integrata, utilizzando metodologie innovative, i dati di fonti amministrative</w:t>
      </w:r>
      <w:r>
        <w:rPr>
          <w:rFonts w:ascii="Arial" w:eastAsia="Calibri" w:hAnsi="Arial" w:cs="Arial"/>
          <w:sz w:val="20"/>
        </w:rPr>
        <w:t xml:space="preserve"> e fiscali consolidate (Bilanci </w:t>
      </w:r>
      <w:r w:rsidRPr="00BD0776">
        <w:rPr>
          <w:rFonts w:ascii="Arial" w:eastAsia="Calibri" w:hAnsi="Arial" w:cs="Arial"/>
          <w:sz w:val="20"/>
        </w:rPr>
        <w:t>civilistici, Studi di Settore, IRAP, modello Unico, Registro Annuale del Costo del Lavoro nelle Imprese - RACLI)</w:t>
      </w:r>
      <w:r w:rsidR="00CF23CE">
        <w:rPr>
          <w:rFonts w:ascii="Arial" w:eastAsia="Calibri" w:hAnsi="Arial" w:cs="Arial"/>
          <w:sz w:val="20"/>
        </w:rPr>
        <w:t xml:space="preserve"> </w:t>
      </w:r>
      <w:r w:rsidRPr="00BD0776">
        <w:rPr>
          <w:rFonts w:ascii="Arial" w:eastAsia="Calibri" w:hAnsi="Arial" w:cs="Arial"/>
          <w:sz w:val="20"/>
        </w:rPr>
        <w:t>e i dati delle rilevazioni strutturali sulle imprese PMI e SCI.</w:t>
      </w:r>
    </w:p>
    <w:p w:rsidR="006350E4" w:rsidRDefault="006350E4" w:rsidP="006350E4">
      <w:pPr>
        <w:spacing w:after="80"/>
        <w:jc w:val="both"/>
        <w:rPr>
          <w:rFonts w:ascii="Arial" w:eastAsia="Calibri" w:hAnsi="Arial" w:cs="Arial"/>
          <w:sz w:val="20"/>
        </w:rPr>
      </w:pPr>
      <w:r w:rsidRPr="008E5FE4">
        <w:rPr>
          <w:rFonts w:ascii="Arial" w:eastAsia="Calibri" w:hAnsi="Arial" w:cs="Arial"/>
          <w:sz w:val="20"/>
        </w:rPr>
        <w:t>Agenzia delle Entrate: serie storica dei redditi da locazione dellepersone fisiche, delle società di capitali, delle società di persone e</w:t>
      </w:r>
      <w:r w:rsidR="00F03196">
        <w:rPr>
          <w:rFonts w:ascii="Arial" w:eastAsia="Calibri" w:hAnsi="Arial" w:cs="Arial"/>
          <w:sz w:val="20"/>
        </w:rPr>
        <w:t xml:space="preserve"> </w:t>
      </w:r>
      <w:r w:rsidRPr="008E5FE4">
        <w:rPr>
          <w:rFonts w:ascii="Arial" w:eastAsia="Calibri" w:hAnsi="Arial" w:cs="Arial"/>
          <w:sz w:val="20"/>
        </w:rPr>
        <w:t>degli enti non commerciali.</w:t>
      </w:r>
    </w:p>
    <w:p w:rsidR="006350E4" w:rsidRDefault="006350E4" w:rsidP="006350E4">
      <w:pPr>
        <w:spacing w:after="80"/>
        <w:jc w:val="both"/>
        <w:rPr>
          <w:rFonts w:ascii="Arial" w:eastAsia="Calibri" w:hAnsi="Arial" w:cs="Arial"/>
          <w:sz w:val="20"/>
        </w:rPr>
      </w:pPr>
      <w:r>
        <w:rPr>
          <w:rFonts w:ascii="Arial" w:eastAsia="Calibri" w:hAnsi="Arial" w:cs="Arial"/>
          <w:sz w:val="20"/>
        </w:rPr>
        <w:t>Indagine Trimestrale sulle Forze di Lavoro</w:t>
      </w:r>
    </w:p>
    <w:p w:rsidR="006350E4" w:rsidRDefault="006350E4" w:rsidP="006350E4">
      <w:pPr>
        <w:spacing w:after="80"/>
        <w:jc w:val="both"/>
        <w:rPr>
          <w:rFonts w:ascii="Arial" w:eastAsia="Calibri" w:hAnsi="Arial" w:cs="Arial"/>
          <w:sz w:val="20"/>
        </w:rPr>
      </w:pPr>
      <w:r>
        <w:rPr>
          <w:rFonts w:ascii="Arial" w:eastAsia="Calibri" w:hAnsi="Arial" w:cs="Arial"/>
          <w:sz w:val="20"/>
        </w:rPr>
        <w:t>Base dati INPS sui lavoratori dipendenti</w:t>
      </w:r>
    </w:p>
    <w:p w:rsidR="006350E4" w:rsidRDefault="006350E4" w:rsidP="006350E4">
      <w:pPr>
        <w:spacing w:after="80"/>
        <w:jc w:val="both"/>
        <w:rPr>
          <w:rFonts w:ascii="Arial" w:eastAsia="Calibri" w:hAnsi="Arial" w:cs="Arial"/>
          <w:sz w:val="20"/>
        </w:rPr>
      </w:pPr>
      <w:r>
        <w:rPr>
          <w:rFonts w:ascii="Arial" w:eastAsia="Calibri" w:hAnsi="Arial" w:cs="Arial"/>
          <w:sz w:val="20"/>
        </w:rPr>
        <w:t>Prezzi medi semestrali delle principali sostanze stupefacenti forniti dal Ministero degli Interni.</w:t>
      </w:r>
    </w:p>
    <w:p w:rsidR="006350E4" w:rsidRDefault="006350E4" w:rsidP="006350E4">
      <w:pPr>
        <w:spacing w:after="80"/>
        <w:jc w:val="both"/>
        <w:rPr>
          <w:rFonts w:ascii="Arial" w:eastAsia="Calibri" w:hAnsi="Arial" w:cs="Arial"/>
          <w:sz w:val="20"/>
        </w:rPr>
      </w:pPr>
      <w:r>
        <w:rPr>
          <w:rFonts w:ascii="Arial" w:eastAsia="Calibri" w:hAnsi="Arial" w:cs="Arial"/>
          <w:sz w:val="20"/>
        </w:rPr>
        <w:t>Indagine IPSAD-CNR sulla prevalenza di utilizzo delle sostanze stupefacenti.</w:t>
      </w:r>
    </w:p>
    <w:p w:rsidR="006350E4" w:rsidRDefault="006350E4" w:rsidP="006350E4">
      <w:pPr>
        <w:spacing w:after="80"/>
        <w:jc w:val="both"/>
        <w:rPr>
          <w:rFonts w:ascii="Arial" w:eastAsia="Calibri" w:hAnsi="Arial" w:cs="Arial"/>
          <w:sz w:val="20"/>
        </w:rPr>
      </w:pPr>
      <w:r w:rsidRPr="005274EF">
        <w:rPr>
          <w:rFonts w:ascii="Arial" w:eastAsia="Calibri" w:hAnsi="Arial" w:cs="Arial"/>
          <w:sz w:val="20"/>
        </w:rPr>
        <w:t>European Web Survey on Drugs</w:t>
      </w:r>
      <w:r>
        <w:rPr>
          <w:rFonts w:ascii="Arial" w:eastAsia="Calibri" w:hAnsi="Arial" w:cs="Arial"/>
          <w:sz w:val="20"/>
        </w:rPr>
        <w:t xml:space="preserve"> dell’EMCDDA sulle abitudini di consumo delle sostanze stupefacenti</w:t>
      </w:r>
    </w:p>
    <w:p w:rsidR="006350E4" w:rsidRDefault="006350E4" w:rsidP="006350E4">
      <w:pPr>
        <w:spacing w:after="80"/>
        <w:jc w:val="both"/>
        <w:rPr>
          <w:rFonts w:ascii="Arial" w:eastAsia="Calibri" w:hAnsi="Arial" w:cs="Arial"/>
          <w:sz w:val="20"/>
        </w:rPr>
      </w:pPr>
      <w:r>
        <w:rPr>
          <w:rFonts w:ascii="Arial" w:eastAsia="Calibri" w:hAnsi="Arial" w:cs="Arial"/>
          <w:sz w:val="20"/>
        </w:rPr>
        <w:t>Guardia di Finanza, dati sui sequestri di sigarette e tabacco</w:t>
      </w:r>
    </w:p>
    <w:p w:rsidR="006350E4" w:rsidRPr="00BD0776" w:rsidRDefault="006350E4" w:rsidP="006350E4">
      <w:pPr>
        <w:spacing w:after="120"/>
        <w:jc w:val="both"/>
        <w:rPr>
          <w:rFonts w:ascii="Arial" w:eastAsia="Calibri" w:hAnsi="Arial" w:cs="Arial"/>
          <w:sz w:val="20"/>
        </w:rPr>
      </w:pPr>
    </w:p>
    <w:p w:rsidR="006350E4" w:rsidRDefault="006350E4" w:rsidP="006350E4">
      <w:pPr>
        <w:spacing w:after="120"/>
        <w:jc w:val="both"/>
        <w:rPr>
          <w:rFonts w:ascii="Arial" w:hAnsi="Arial" w:cs="Arial"/>
          <w:b/>
          <w:color w:val="1F497D"/>
          <w:sz w:val="22"/>
        </w:rPr>
      </w:pPr>
      <w:r>
        <w:rPr>
          <w:rFonts w:ascii="Arial" w:hAnsi="Arial" w:cs="Arial"/>
          <w:b/>
          <w:color w:val="1F497D"/>
          <w:sz w:val="22"/>
        </w:rPr>
        <w:t>Le politiche di diffusione e revisione</w:t>
      </w:r>
    </w:p>
    <w:p w:rsidR="00230B69" w:rsidRPr="00F87E4E" w:rsidRDefault="006350E4" w:rsidP="00230B69">
      <w:pPr>
        <w:spacing w:after="120"/>
        <w:jc w:val="both"/>
        <w:rPr>
          <w:rFonts w:ascii="Arial" w:eastAsia="Calibri" w:hAnsi="Arial" w:cs="Arial"/>
          <w:sz w:val="20"/>
        </w:rPr>
      </w:pPr>
      <w:r>
        <w:rPr>
          <w:rFonts w:ascii="Arial" w:eastAsia="Calibri" w:hAnsi="Arial" w:cs="Arial"/>
          <w:sz w:val="20"/>
        </w:rPr>
        <w:t>Le stime dell’economia sommersa vengono pubblicate una volta l’anno (denominato t), nel mese di ottobre, dove vengono diffusi i dati definitivi riferiti all’anno t-2.</w:t>
      </w:r>
      <w:r w:rsidR="005972B7">
        <w:rPr>
          <w:rFonts w:ascii="Arial" w:eastAsia="Calibri" w:hAnsi="Arial" w:cs="Arial"/>
          <w:sz w:val="20"/>
        </w:rPr>
        <w:t xml:space="preserve"> In occasione</w:t>
      </w:r>
      <w:r w:rsidR="003C03E9">
        <w:rPr>
          <w:rFonts w:ascii="Arial" w:eastAsia="Calibri" w:hAnsi="Arial" w:cs="Arial"/>
          <w:sz w:val="20"/>
        </w:rPr>
        <w:t xml:space="preserve"> della revisione generale dei co</w:t>
      </w:r>
      <w:r w:rsidR="00CF23CE">
        <w:rPr>
          <w:rFonts w:ascii="Arial" w:eastAsia="Calibri" w:hAnsi="Arial" w:cs="Arial"/>
          <w:sz w:val="20"/>
        </w:rPr>
        <w:t xml:space="preserve">nti nazionali di settembre 2019 </w:t>
      </w:r>
      <w:r w:rsidR="00230B69">
        <w:rPr>
          <w:rFonts w:ascii="Arial" w:eastAsia="Calibri" w:hAnsi="Arial" w:cs="Arial"/>
          <w:sz w:val="20"/>
        </w:rPr>
        <w:t xml:space="preserve">sono stati riviste le metodologie di stima di alcune componenti dell’economia non osservata. In particolare, sono stati affinati i modelli di stima della sotto-dichiarazione del valore aggiuntoper alcuni gruppi di unità economiche di piccole dimensioni. Inoltre, un miglioramento è stato introdotto nella misurazione del </w:t>
      </w:r>
      <w:r w:rsidR="00230B69">
        <w:rPr>
          <w:rFonts w:ascii="Arial" w:hAnsi="Arial" w:cs="Arial"/>
          <w:sz w:val="20"/>
        </w:rPr>
        <w:t>vantaggio competitivo (surplus) dell’imprenditore che impiega lavoro dipendente irregolare</w:t>
      </w:r>
      <w:r w:rsidR="0039359E">
        <w:rPr>
          <w:rFonts w:ascii="Arial" w:hAnsi="Arial" w:cs="Arial"/>
          <w:sz w:val="20"/>
        </w:rPr>
        <w:t>.</w:t>
      </w:r>
    </w:p>
    <w:p w:rsidR="00230B69" w:rsidRDefault="0039359E" w:rsidP="00230B69">
      <w:pPr>
        <w:spacing w:after="120"/>
        <w:jc w:val="both"/>
        <w:rPr>
          <w:rFonts w:ascii="Arial" w:hAnsi="Arial" w:cs="Arial"/>
          <w:sz w:val="20"/>
        </w:rPr>
      </w:pPr>
      <w:r>
        <w:rPr>
          <w:rFonts w:ascii="Arial" w:hAnsi="Arial" w:cs="Arial"/>
          <w:sz w:val="20"/>
        </w:rPr>
        <w:t xml:space="preserve">Le nuove metodologie sono state applicate </w:t>
      </w:r>
      <w:r w:rsidR="005625D7">
        <w:rPr>
          <w:rFonts w:ascii="Arial" w:hAnsi="Arial" w:cs="Arial"/>
          <w:sz w:val="20"/>
        </w:rPr>
        <w:t xml:space="preserve">per </w:t>
      </w:r>
      <w:r>
        <w:rPr>
          <w:rFonts w:ascii="Arial" w:hAnsi="Arial" w:cs="Arial"/>
          <w:sz w:val="20"/>
        </w:rPr>
        <w:t xml:space="preserve">gli anni </w:t>
      </w:r>
      <w:r w:rsidR="005625D7">
        <w:rPr>
          <w:rFonts w:ascii="Arial" w:hAnsi="Arial" w:cs="Arial"/>
          <w:sz w:val="20"/>
        </w:rPr>
        <w:t xml:space="preserve">dal 2015 al </w:t>
      </w:r>
      <w:r>
        <w:rPr>
          <w:rFonts w:ascii="Arial" w:hAnsi="Arial" w:cs="Arial"/>
          <w:sz w:val="20"/>
        </w:rPr>
        <w:t>2017</w:t>
      </w:r>
      <w:r w:rsidR="005625D7">
        <w:rPr>
          <w:rFonts w:ascii="Arial" w:hAnsi="Arial" w:cs="Arial"/>
          <w:sz w:val="20"/>
        </w:rPr>
        <w:t>,</w:t>
      </w:r>
      <w:r w:rsidR="00CF23CE">
        <w:rPr>
          <w:rFonts w:ascii="Arial" w:hAnsi="Arial" w:cs="Arial"/>
          <w:sz w:val="20"/>
        </w:rPr>
        <w:t xml:space="preserve"> </w:t>
      </w:r>
      <w:r w:rsidR="005625D7">
        <w:rPr>
          <w:rFonts w:ascii="Arial" w:hAnsi="Arial" w:cs="Arial"/>
          <w:sz w:val="20"/>
        </w:rPr>
        <w:t>mentre</w:t>
      </w:r>
      <w:r w:rsidR="00230B69">
        <w:rPr>
          <w:rFonts w:ascii="Arial" w:hAnsi="Arial" w:cs="Arial"/>
          <w:sz w:val="20"/>
        </w:rPr>
        <w:t xml:space="preserve">, le serie storiche </w:t>
      </w:r>
      <w:r w:rsidR="005625D7">
        <w:rPr>
          <w:rFonts w:ascii="Arial" w:hAnsi="Arial" w:cs="Arial"/>
          <w:sz w:val="20"/>
        </w:rPr>
        <w:t xml:space="preserve">2011-2014 </w:t>
      </w:r>
      <w:r w:rsidR="00230B69">
        <w:rPr>
          <w:rFonts w:ascii="Arial" w:hAnsi="Arial" w:cs="Arial"/>
          <w:sz w:val="20"/>
        </w:rPr>
        <w:t>sono state ricostruite attraverso una procedura semplificata che tiene conto delle dinamiche delle singole componenti dell’economia sommersa ed illegale nei conti nazional</w:t>
      </w:r>
      <w:r w:rsidR="00CF23CE">
        <w:rPr>
          <w:rFonts w:ascii="Arial" w:hAnsi="Arial" w:cs="Arial"/>
          <w:sz w:val="20"/>
        </w:rPr>
        <w:t>i precedenti a questa revisione.</w:t>
      </w:r>
      <w:bookmarkStart w:id="0" w:name="_GoBack"/>
      <w:bookmarkEnd w:id="0"/>
    </w:p>
    <w:p w:rsidR="006350E4" w:rsidRDefault="006350E4" w:rsidP="006350E4">
      <w:pPr>
        <w:spacing w:after="80"/>
        <w:jc w:val="both"/>
        <w:rPr>
          <w:rFonts w:ascii="Arial" w:eastAsia="Calibri" w:hAnsi="Arial" w:cs="Arial"/>
          <w:sz w:val="20"/>
        </w:rPr>
      </w:pPr>
    </w:p>
    <w:p w:rsidR="00A549BF" w:rsidRDefault="00A549BF" w:rsidP="00A549BF">
      <w:pPr>
        <w:rPr>
          <w:rFonts w:ascii="Arial" w:eastAsia="Calibri" w:hAnsi="Arial" w:cs="Arial"/>
          <w:sz w:val="20"/>
        </w:rPr>
      </w:pPr>
      <w:r>
        <w:rPr>
          <w:rFonts w:ascii="Arial" w:eastAsia="Calibri" w:hAnsi="Arial" w:cs="Arial"/>
          <w:sz w:val="20"/>
        </w:rPr>
        <w:br w:type="page"/>
      </w:r>
    </w:p>
    <w:p w:rsidR="00A549BF" w:rsidRDefault="00A549BF" w:rsidP="00EF1CB8">
      <w:pPr>
        <w:autoSpaceDE w:val="0"/>
        <w:autoSpaceDN w:val="0"/>
        <w:adjustRightInd w:val="0"/>
        <w:ind w:left="1134"/>
        <w:rPr>
          <w:rFonts w:ascii="Arial" w:eastAsia="Calibri" w:hAnsi="Arial" w:cs="Arial"/>
          <w:b/>
          <w:sz w:val="20"/>
        </w:rPr>
      </w:pPr>
      <w:r w:rsidRPr="00886128">
        <w:rPr>
          <w:rFonts w:ascii="Arial" w:eastAsia="Calibri" w:hAnsi="Arial" w:cs="Arial"/>
          <w:b/>
          <w:sz w:val="20"/>
        </w:rPr>
        <w:lastRenderedPageBreak/>
        <w:t>Raccordo fra l’aggregazione A10 e le divisioni della cl</w:t>
      </w:r>
      <w:r>
        <w:rPr>
          <w:rFonts w:ascii="Arial" w:eastAsia="Calibri" w:hAnsi="Arial" w:cs="Arial"/>
          <w:b/>
          <w:sz w:val="20"/>
        </w:rPr>
        <w:t>assificazione Ateco (NACE Rev.2</w:t>
      </w:r>
      <w:r w:rsidRPr="00886128">
        <w:rPr>
          <w:rFonts w:ascii="Arial" w:eastAsia="Calibri" w:hAnsi="Arial" w:cs="Arial"/>
          <w:b/>
          <w:sz w:val="20"/>
        </w:rPr>
        <w:t>)</w:t>
      </w:r>
    </w:p>
    <w:p w:rsidR="00A549BF" w:rsidRPr="00886128" w:rsidRDefault="00A549BF" w:rsidP="00A549BF">
      <w:pPr>
        <w:autoSpaceDE w:val="0"/>
        <w:autoSpaceDN w:val="0"/>
        <w:adjustRightInd w:val="0"/>
        <w:rPr>
          <w:rFonts w:ascii="Arial" w:eastAsia="Calibri" w:hAnsi="Arial" w:cs="Arial"/>
          <w:b/>
          <w:sz w:val="20"/>
        </w:rPr>
      </w:pPr>
    </w:p>
    <w:p w:rsidR="00A549BF" w:rsidRPr="00886128" w:rsidRDefault="00A549BF" w:rsidP="00A549BF">
      <w:pPr>
        <w:autoSpaceDE w:val="0"/>
        <w:autoSpaceDN w:val="0"/>
        <w:adjustRightInd w:val="0"/>
        <w:jc w:val="right"/>
        <w:rPr>
          <w:rFonts w:eastAsia="Calibri"/>
          <w:b/>
        </w:rPr>
      </w:pPr>
      <w:r w:rsidRPr="00245973">
        <w:rPr>
          <w:rFonts w:eastAsia="Calibri"/>
          <w:noProof/>
        </w:rPr>
        <w:drawing>
          <wp:inline distT="0" distB="0" distL="0" distR="0">
            <wp:extent cx="5760000" cy="8323532"/>
            <wp:effectExtent l="0" t="0" r="0" b="190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00" cy="8323532"/>
                    </a:xfrm>
                    <a:prstGeom prst="rect">
                      <a:avLst/>
                    </a:prstGeom>
                    <a:noFill/>
                    <a:ln>
                      <a:noFill/>
                    </a:ln>
                  </pic:spPr>
                </pic:pic>
              </a:graphicData>
            </a:graphic>
          </wp:inline>
        </w:drawing>
      </w:r>
    </w:p>
    <w:p w:rsidR="00A549BF" w:rsidRDefault="00A549BF" w:rsidP="00A549BF">
      <w:pPr>
        <w:autoSpaceDE w:val="0"/>
        <w:autoSpaceDN w:val="0"/>
        <w:adjustRightInd w:val="0"/>
        <w:jc w:val="both"/>
        <w:rPr>
          <w:rFonts w:ascii="Arial" w:eastAsia="Calibri" w:hAnsi="Arial" w:cs="Arial"/>
          <w:b/>
        </w:rPr>
      </w:pPr>
    </w:p>
    <w:p w:rsidR="00A549BF" w:rsidRDefault="00A549BF" w:rsidP="00A549BF">
      <w:pPr>
        <w:rPr>
          <w:rFonts w:ascii="Arial" w:eastAsia="Calibri" w:hAnsi="Arial" w:cs="Arial"/>
          <w:b/>
        </w:rPr>
      </w:pPr>
      <w:r>
        <w:rPr>
          <w:rFonts w:ascii="Arial" w:eastAsia="Calibri" w:hAnsi="Arial" w:cs="Arial"/>
          <w:b/>
        </w:rPr>
        <w:br w:type="page"/>
      </w:r>
    </w:p>
    <w:p w:rsidR="00A549BF" w:rsidRDefault="00A549BF" w:rsidP="00DB256D">
      <w:pPr>
        <w:autoSpaceDE w:val="0"/>
        <w:autoSpaceDN w:val="0"/>
        <w:adjustRightInd w:val="0"/>
        <w:ind w:left="1134"/>
        <w:jc w:val="both"/>
        <w:rPr>
          <w:rFonts w:ascii="Arial" w:eastAsia="Calibri" w:hAnsi="Arial" w:cs="Arial"/>
          <w:b/>
          <w:sz w:val="20"/>
        </w:rPr>
      </w:pPr>
      <w:r w:rsidRPr="00C91640">
        <w:rPr>
          <w:rFonts w:ascii="Arial" w:eastAsia="Calibri" w:hAnsi="Arial" w:cs="Arial"/>
          <w:b/>
          <w:sz w:val="20"/>
        </w:rPr>
        <w:lastRenderedPageBreak/>
        <w:t>Raccordo fra la classificazione dei settori produttivi e</w:t>
      </w:r>
      <w:r>
        <w:rPr>
          <w:rFonts w:ascii="Arial" w:eastAsia="Calibri" w:hAnsi="Arial" w:cs="Arial"/>
          <w:b/>
          <w:sz w:val="20"/>
        </w:rPr>
        <w:t xml:space="preserve"> le divisioni Ateco (NACE Rev.2</w:t>
      </w:r>
      <w:r w:rsidRPr="00C91640">
        <w:rPr>
          <w:rFonts w:ascii="Arial" w:eastAsia="Calibri" w:hAnsi="Arial" w:cs="Arial"/>
          <w:b/>
          <w:sz w:val="20"/>
        </w:rPr>
        <w:t>)</w:t>
      </w:r>
    </w:p>
    <w:p w:rsidR="00A549BF" w:rsidRDefault="00A549BF" w:rsidP="00A549BF">
      <w:pPr>
        <w:autoSpaceDE w:val="0"/>
        <w:autoSpaceDN w:val="0"/>
        <w:adjustRightInd w:val="0"/>
        <w:jc w:val="both"/>
        <w:rPr>
          <w:rFonts w:ascii="Arial" w:eastAsia="Calibri" w:hAnsi="Arial" w:cs="Arial"/>
          <w:b/>
          <w:sz w:val="20"/>
        </w:rPr>
      </w:pPr>
    </w:p>
    <w:p w:rsidR="001F7813" w:rsidRDefault="00A549BF" w:rsidP="00DB256D">
      <w:pPr>
        <w:autoSpaceDE w:val="0"/>
        <w:autoSpaceDN w:val="0"/>
        <w:adjustRightInd w:val="0"/>
        <w:jc w:val="right"/>
        <w:rPr>
          <w:rFonts w:ascii="Arial" w:hAnsi="Arial" w:cs="Arial"/>
          <w:b/>
          <w:bCs/>
          <w:sz w:val="26"/>
          <w:szCs w:val="26"/>
        </w:rPr>
      </w:pPr>
      <w:r w:rsidRPr="00245973">
        <w:rPr>
          <w:rFonts w:eastAsia="Calibri"/>
          <w:noProof/>
        </w:rPr>
        <w:drawing>
          <wp:inline distT="0" distB="0" distL="0" distR="0">
            <wp:extent cx="5760000" cy="8378787"/>
            <wp:effectExtent l="0" t="0" r="0" b="381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8378787"/>
                    </a:xfrm>
                    <a:prstGeom prst="rect">
                      <a:avLst/>
                    </a:prstGeom>
                    <a:noFill/>
                    <a:ln>
                      <a:noFill/>
                    </a:ln>
                  </pic:spPr>
                </pic:pic>
              </a:graphicData>
            </a:graphic>
          </wp:inline>
        </w:drawing>
      </w:r>
    </w:p>
    <w:p w:rsidR="00A24F8D" w:rsidRDefault="00A24F8D">
      <w:pPr>
        <w:rPr>
          <w:rFonts w:ascii="Arial" w:hAnsi="Arial" w:cs="Arial"/>
          <w:b/>
          <w:bCs/>
          <w:sz w:val="26"/>
          <w:szCs w:val="26"/>
        </w:rPr>
      </w:pPr>
    </w:p>
    <w:sectPr w:rsidR="00A24F8D" w:rsidSect="00EF1CB8">
      <w:footerReference w:type="default" r:id="rId24"/>
      <w:type w:val="continuous"/>
      <w:pgSz w:w="11906" w:h="16838" w:code="9"/>
      <w:pgMar w:top="567" w:right="851" w:bottom="680" w:left="851" w:header="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DE6" w:rsidRDefault="003A1DE6">
      <w:r>
        <w:separator/>
      </w:r>
    </w:p>
  </w:endnote>
  <w:endnote w:type="continuationSeparator" w:id="0">
    <w:p w:rsidR="003A1DE6" w:rsidRDefault="003A1DE6">
      <w:r>
        <w:continuationSeparator/>
      </w:r>
    </w:p>
  </w:endnote>
  <w:endnote w:id="1">
    <w:p w:rsidR="00B27661" w:rsidRDefault="00B27661" w:rsidP="000E348B">
      <w:pPr>
        <w:pStyle w:val="Testonotadichiusura"/>
      </w:pPr>
      <w:r>
        <w:rPr>
          <w:rStyle w:val="Rimandonotadichiusura"/>
        </w:rPr>
        <w:endnoteRef/>
      </w:r>
      <w:r w:rsidRPr="008E667E">
        <w:rPr>
          <w:rFonts w:ascii="Arial" w:hAnsi="Arial" w:cs="Arial"/>
          <w:sz w:val="16"/>
          <w:szCs w:val="16"/>
        </w:rPr>
        <w:t>Il sistema fiscale cui sono sottoposte le imprese agricole è caratterizzato da regimi forfettari, riduzioni dell’imponibile e applicazione di aliquote ridotte, che rendono difficilmente configurabile la presenza di una dichiarazione mendace del reddito d’impresa.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5CC" w:rsidRDefault="00D93F89">
    <w:pPr>
      <w:pStyle w:val="Pidipagina"/>
      <w:framePr w:wrap="around" w:vAnchor="text" w:hAnchor="margin" w:xAlign="right" w:y="1"/>
      <w:rPr>
        <w:rStyle w:val="Numeropagina"/>
      </w:rPr>
    </w:pPr>
    <w:r>
      <w:rPr>
        <w:rStyle w:val="Numeropagina"/>
      </w:rPr>
      <w:fldChar w:fldCharType="begin"/>
    </w:r>
    <w:r w:rsidR="00DA25CC">
      <w:rPr>
        <w:rStyle w:val="Numeropagina"/>
      </w:rPr>
      <w:instrText xml:space="preserve">PAGE  </w:instrText>
    </w:r>
    <w:r>
      <w:rPr>
        <w:rStyle w:val="Numeropagina"/>
      </w:rPr>
      <w:fldChar w:fldCharType="end"/>
    </w:r>
  </w:p>
  <w:p w:rsidR="00DA25CC" w:rsidRDefault="00DA25CC">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5335918"/>
      <w:docPartObj>
        <w:docPartGallery w:val="Page Numbers (Bottom of Page)"/>
        <w:docPartUnique/>
      </w:docPartObj>
    </w:sdtPr>
    <w:sdtEndPr/>
    <w:sdtContent>
      <w:p w:rsidR="00DA25CC" w:rsidRDefault="00D93F89">
        <w:pPr>
          <w:pStyle w:val="Pidipagina"/>
        </w:pPr>
        <w:r>
          <w:fldChar w:fldCharType="begin"/>
        </w:r>
        <w:r w:rsidR="00DA25CC">
          <w:instrText>PAGE   \* MERGEFORMAT</w:instrText>
        </w:r>
        <w:r>
          <w:fldChar w:fldCharType="separate"/>
        </w:r>
        <w:r w:rsidR="003474C0">
          <w:rPr>
            <w:noProof/>
          </w:rPr>
          <w:t>2</w:t>
        </w:r>
        <w:r>
          <w:fldChar w:fldCharType="end"/>
        </w:r>
      </w:p>
    </w:sdtContent>
  </w:sdt>
  <w:p w:rsidR="00DA25CC" w:rsidRDefault="00DA25CC" w:rsidP="00842757">
    <w:pPr>
      <w:pStyle w:val="Pidipagina"/>
      <w:tabs>
        <w:tab w:val="clear" w:pos="4819"/>
        <w:tab w:val="clear" w:pos="9638"/>
        <w:tab w:val="left" w:pos="777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5CC" w:rsidRPr="00C469C4" w:rsidRDefault="00DA25CC" w:rsidP="00C469C4">
    <w:pPr>
      <w:pStyle w:val="Pidipagina"/>
      <w:ind w:left="-851"/>
      <w:rPr>
        <w:sz w:val="18"/>
      </w:rPr>
    </w:pPr>
    <w:r>
      <w:rPr>
        <w:noProof/>
        <w:sz w:val="18"/>
      </w:rPr>
      <w:drawing>
        <wp:inline distT="0" distB="0" distL="0" distR="0" wp14:anchorId="032A9553" wp14:editId="13AF496D">
          <wp:extent cx="7560000" cy="1645200"/>
          <wp:effectExtent l="0" t="0" r="0" b="635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estateReport_Tavola disegno 1 copia.jpg"/>
                  <pic:cNvPicPr/>
                </pic:nvPicPr>
                <pic:blipFill>
                  <a:blip r:embed="rId1"/>
                  <a:stretch>
                    <a:fillRect/>
                  </a:stretch>
                </pic:blipFill>
                <pic:spPr>
                  <a:xfrm>
                    <a:off x="0" y="0"/>
                    <a:ext cx="7560000" cy="1645200"/>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highlight w:val="lightGray"/>
      </w:rPr>
      <w:id w:val="402640708"/>
      <w:docPartObj>
        <w:docPartGallery w:val="Page Numbers (Bottom of Page)"/>
        <w:docPartUnique/>
      </w:docPartObj>
    </w:sdtPr>
    <w:sdtEndPr/>
    <w:sdtContent>
      <w:p w:rsidR="00DA25CC" w:rsidRDefault="00934608">
        <w:pPr>
          <w:rPr>
            <w:rFonts w:asciiTheme="majorHAnsi" w:eastAsiaTheme="majorEastAsia" w:hAnsiTheme="majorHAnsi" w:cstheme="majorBidi"/>
          </w:rPr>
        </w:pPr>
        <w:r>
          <w:rPr>
            <w:noProof/>
            <w:sz w:val="28"/>
            <w:szCs w:val="28"/>
          </w:rPr>
          <mc:AlternateContent>
            <mc:Choice Requires="wps">
              <w:drawing>
                <wp:anchor distT="4294967295" distB="4294967295" distL="114300" distR="114300" simplePos="0" relativeHeight="251663360" behindDoc="0" locked="0" layoutInCell="1" allowOverlap="1">
                  <wp:simplePos x="0" y="0"/>
                  <wp:positionH relativeFrom="column">
                    <wp:posOffset>-10160</wp:posOffset>
                  </wp:positionH>
                  <wp:positionV relativeFrom="paragraph">
                    <wp:posOffset>-2532381</wp:posOffset>
                  </wp:positionV>
                  <wp:extent cx="6299835" cy="0"/>
                  <wp:effectExtent l="0" t="0" r="24765" b="19050"/>
                  <wp:wrapNone/>
                  <wp:docPr id="12"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Connettore 1 1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pt,-199.4pt" to="495.25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" strokecolor="white [3212]" strokeweight="1.25pt">
                  <o:lock v:ext="edit" shapetype="f"/>
                </v:line>
              </w:pict>
            </mc:Fallback>
          </mc:AlternateContent>
        </w:r>
        <w:r>
          <w:rPr>
            <w:noProof/>
            <w:sz w:val="28"/>
            <w:szCs w:val="28"/>
          </w:rPr>
          <mc:AlternateContent>
            <mc:Choice Requires="wps">
              <w:drawing>
                <wp:anchor distT="4294967295" distB="4294967295" distL="114300" distR="114300" simplePos="0" relativeHeight="251659264" behindDoc="0" locked="0" layoutInCell="1" allowOverlap="1">
                  <wp:simplePos x="0" y="0"/>
                  <wp:positionH relativeFrom="column">
                    <wp:posOffset>-10160</wp:posOffset>
                  </wp:positionH>
                  <wp:positionV relativeFrom="paragraph">
                    <wp:posOffset>-127636</wp:posOffset>
                  </wp:positionV>
                  <wp:extent cx="6299835" cy="0"/>
                  <wp:effectExtent l="0" t="0" r="24765" b="19050"/>
                  <wp:wrapNone/>
                  <wp:docPr id="28" name="Connettore 1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Connettore 1 2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pt,-10.05pt" to="495.2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" strokecolor="white [3212]" strokeweight="1.25pt">
                  <o:lock v:ext="edit" shapetype="f"/>
                </v:line>
              </w:pict>
            </mc:Fallback>
          </mc:AlternateContent>
        </w:r>
        <w:r w:rsidR="00DA25CC" w:rsidRPr="00A17739">
          <w:rPr>
            <w:rFonts w:ascii="Arial" w:hAnsi="Arial" w:cs="Arial"/>
            <w:noProof/>
            <w:sz w:val="22"/>
            <w:szCs w:val="22"/>
          </w:rPr>
          <w:drawing>
            <wp:anchor distT="0" distB="0" distL="114300" distR="114300" simplePos="0" relativeHeight="251664384" behindDoc="0" locked="0" layoutInCell="1" allowOverlap="1" wp14:anchorId="07D99B5F" wp14:editId="422A42CF">
              <wp:simplePos x="0" y="0"/>
              <wp:positionH relativeFrom="column">
                <wp:posOffset>-545465</wp:posOffset>
              </wp:positionH>
              <wp:positionV relativeFrom="paragraph">
                <wp:posOffset>-3345505</wp:posOffset>
              </wp:positionV>
              <wp:extent cx="466725" cy="483235"/>
              <wp:effectExtent l="0" t="0" r="9525" b="0"/>
              <wp:wrapNone/>
              <wp:docPr id="27" name="Immagin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66725" cy="483235"/>
                      </a:xfrm>
                      <a:prstGeom prst="rect">
                        <a:avLst/>
                      </a:prstGeom>
                    </pic:spPr>
                  </pic:pic>
                </a:graphicData>
              </a:graphic>
              <wp14:sizeRelH relativeFrom="margin">
                <wp14:pctWidth>0</wp14:pctWidth>
              </wp14:sizeRelH>
              <wp14:sizeRelV relativeFrom="margin">
                <wp14:pctHeight>0</wp14:pctHeight>
              </wp14:sizeRelV>
            </wp:anchor>
          </w:drawing>
        </w:r>
        <w:sdt>
          <w:sdtPr>
            <w:rPr>
              <w:rFonts w:asciiTheme="majorHAnsi" w:eastAsiaTheme="majorEastAsia" w:hAnsiTheme="majorHAnsi" w:cstheme="majorBidi"/>
              <w:highlight w:val="lightGray"/>
            </w:rPr>
            <w:id w:val="-862666493"/>
            <w:docPartObj>
              <w:docPartGallery w:val="Page Numbers (Margins)"/>
              <w:docPartUnique/>
            </w:docPartObj>
          </w:sdtPr>
          <w:sdtEndPr/>
          <w:sdtContent>
            <w:r>
              <w:rPr>
                <w:rFonts w:ascii="Arial Narrow" w:hAnsi="Arial Narrow"/>
                <w:noProof/>
                <w:color w:val="FFFFFF" w:themeColor="background1"/>
              </w:rPr>
              <mc:AlternateContent>
                <mc:Choice Requires="wps">
                  <w:drawing>
                    <wp:anchor distT="0" distB="0" distL="114300" distR="114300" simplePos="0" relativeHeight="251657216" behindDoc="0" locked="0" layoutInCell="0" allowOverlap="1">
                      <wp:simplePos x="0" y="0"/>
                      <wp:positionH relativeFrom="rightMargin">
                        <wp:posOffset>179070</wp:posOffset>
                      </wp:positionH>
                      <wp:positionV relativeFrom="margin">
                        <wp:posOffset>9758045</wp:posOffset>
                      </wp:positionV>
                      <wp:extent cx="398780" cy="329565"/>
                      <wp:effectExtent l="0" t="0" r="0" b="0"/>
                      <wp:wrapNone/>
                      <wp:docPr id="545"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29565"/>
                              </a:xfrm>
                              <a:prstGeom prst="rect">
                                <a:avLst/>
                              </a:prstGeom>
                              <a:noFill/>
                            </wps:spPr>
                            <wps:txbx>
                              <w:txbxContent>
                                <w:p w:rsidR="00DA25CC" w:rsidRPr="001B745D" w:rsidRDefault="00D93F89"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00DA25CC"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046672">
                                    <w:rPr>
                                      <w:rFonts w:ascii="Arial" w:hAnsi="Arial" w:cs="Arial"/>
                                      <w:b/>
                                      <w:noProof/>
                                      <w:color w:val="244061" w:themeColor="accent1" w:themeShade="80"/>
                                      <w:sz w:val="20"/>
                                      <w:szCs w:val="20"/>
                                    </w:rPr>
                                    <w:t>8</w:t>
                                  </w:r>
                                  <w:r w:rsidRPr="00CA469E">
                                    <w:rPr>
                                      <w:rFonts w:ascii="Arial" w:hAnsi="Arial" w:cs="Arial"/>
                                      <w:b/>
                                      <w:color w:val="244061" w:themeColor="accent1" w:themeShade="80"/>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Rettangolo 4" o:spid="_x0000_s1031" style="position:absolute;margin-left:14.1pt;margin-top:768.35pt;width:31.4pt;height:25.95pt;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" o:allowincell="f" filled="f" stroked="f">
                      <v:textbox>
                        <w:txbxContent>
                          <w:p w:rsidR="00DA25CC" w:rsidRPr="001B745D" w:rsidRDefault="00D93F89"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00DA25CC"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046672">
                              <w:rPr>
                                <w:rFonts w:ascii="Arial" w:hAnsi="Arial" w:cs="Arial"/>
                                <w:b/>
                                <w:noProof/>
                                <w:color w:val="244061" w:themeColor="accent1" w:themeShade="80"/>
                                <w:sz w:val="20"/>
                                <w:szCs w:val="20"/>
                              </w:rPr>
                              <w:t>8</w:t>
                            </w:r>
                            <w:r w:rsidRPr="00CA469E">
                              <w:rPr>
                                <w:rFonts w:ascii="Arial" w:hAnsi="Arial" w:cs="Arial"/>
                                <w:b/>
                                <w:color w:val="244061" w:themeColor="accent1" w:themeShade="80"/>
                                <w:sz w:val="20"/>
                                <w:szCs w:val="20"/>
                              </w:rPr>
                              <w:fldChar w:fldCharType="end"/>
                            </w:r>
                          </w:p>
                        </w:txbxContent>
                      </v:textbox>
                      <w10:wrap anchorx="margin" anchory="margin"/>
                    </v:rect>
                  </w:pict>
                </mc:Fallback>
              </mc:AlternateContent>
            </w:r>
            <w:r w:rsidR="00DA25CC">
              <w:rPr>
                <w:noProof/>
              </w:rPr>
              <w:drawing>
                <wp:anchor distT="0" distB="0" distL="114300" distR="114300" simplePos="0" relativeHeight="251652096" behindDoc="0" locked="0" layoutInCell="1" allowOverlap="1" wp14:anchorId="6A51DAFC" wp14:editId="614AE2F1">
                  <wp:simplePos x="0" y="0"/>
                  <wp:positionH relativeFrom="column">
                    <wp:posOffset>5678170</wp:posOffset>
                  </wp:positionH>
                  <wp:positionV relativeFrom="paragraph">
                    <wp:posOffset>-263525</wp:posOffset>
                  </wp:positionV>
                  <wp:extent cx="1256030" cy="788035"/>
                  <wp:effectExtent l="0" t="0" r="1270" b="0"/>
                  <wp:wrapNone/>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ateReport_Tavola disegno 1 copia 2.png"/>
                          <pic:cNvPicPr/>
                        </pic:nvPicPr>
                        <pic:blipFill>
                          <a:blip r:embed="rId2"/>
                          <a:stretch>
                            <a:fillRect/>
                          </a:stretch>
                        </pic:blipFill>
                        <pic:spPr>
                          <a:xfrm>
                            <a:off x="0" y="0"/>
                            <a:ext cx="1256030" cy="788035"/>
                          </a:xfrm>
                          <a:prstGeom prst="rect">
                            <a:avLst/>
                          </a:prstGeom>
                        </pic:spPr>
                      </pic:pic>
                    </a:graphicData>
                  </a:graphic>
                </wp:anchor>
              </w:drawing>
            </w:r>
            <w:r>
              <w:rPr>
                <w:rFonts w:asciiTheme="majorHAnsi" w:eastAsiaTheme="majorEastAsia" w:hAnsiTheme="majorHAnsi" w:cstheme="majorBidi"/>
                <w:noProof/>
              </w:rPr>
              <mc:AlternateContent>
                <mc:Choice Requires="wps">
                  <w:drawing>
                    <wp:anchor distT="0" distB="0" distL="114300" distR="114300" simplePos="0" relativeHeight="251656192" behindDoc="1" locked="0" layoutInCell="1" allowOverlap="1">
                      <wp:simplePos x="0" y="0"/>
                      <wp:positionH relativeFrom="column">
                        <wp:posOffset>-617220</wp:posOffset>
                      </wp:positionH>
                      <wp:positionV relativeFrom="paragraph">
                        <wp:posOffset>-3087370</wp:posOffset>
                      </wp:positionV>
                      <wp:extent cx="7552800" cy="3477600"/>
                      <wp:effectExtent l="0" t="0" r="0" b="8890"/>
                      <wp:wrapNone/>
                      <wp:docPr id="10"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2800" cy="34776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10" o:spid="_x0000_s1026" style="position:absolute;margin-left:-48.6pt;margin-top:-243.1pt;width:594.7pt;height:27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" fillcolor="#d8d8d8 [2732]" stroked="f" strokeweight="2pt">
                      <v:path arrowok="t"/>
                    </v:rect>
                  </w:pict>
                </mc:Fallback>
              </mc:AlternateContent>
            </w:r>
          </w:sdtContent>
        </w:sdt>
      </w:p>
    </w:sdtContent>
  </w:sdt>
  <w:p w:rsidR="00DA25CC" w:rsidRDefault="00DA25CC" w:rsidP="00842757">
    <w:pPr>
      <w:pStyle w:val="Pidipagina"/>
      <w:tabs>
        <w:tab w:val="clear" w:pos="4819"/>
        <w:tab w:val="clear" w:pos="9638"/>
        <w:tab w:val="left" w:pos="7773"/>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5CC" w:rsidRDefault="00EF1CB8">
    <w:pPr>
      <w:rPr>
        <w:rFonts w:asciiTheme="majorHAnsi" w:eastAsiaTheme="majorEastAsia" w:hAnsiTheme="majorHAnsi" w:cstheme="majorBidi"/>
      </w:rPr>
    </w:pPr>
    <w:r>
      <w:rPr>
        <w:noProof/>
      </w:rPr>
      <w:drawing>
        <wp:anchor distT="0" distB="0" distL="114300" distR="114300" simplePos="0" relativeHeight="251655168" behindDoc="0" locked="0" layoutInCell="1" allowOverlap="1">
          <wp:simplePos x="0" y="0"/>
          <wp:positionH relativeFrom="column">
            <wp:posOffset>5767070</wp:posOffset>
          </wp:positionH>
          <wp:positionV relativeFrom="paragraph">
            <wp:posOffset>72390</wp:posOffset>
          </wp:positionV>
          <wp:extent cx="1256030" cy="788035"/>
          <wp:effectExtent l="0" t="0" r="1270" b="0"/>
          <wp:wrapNone/>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ateReport_Tavola disegno 1 copia 2.png"/>
                  <pic:cNvPicPr/>
                </pic:nvPicPr>
                <pic:blipFill>
                  <a:blip r:embed="rId1"/>
                  <a:stretch>
                    <a:fillRect/>
                  </a:stretch>
                </pic:blipFill>
                <pic:spPr>
                  <a:xfrm>
                    <a:off x="0" y="0"/>
                    <a:ext cx="1256030" cy="788035"/>
                  </a:xfrm>
                  <a:prstGeom prst="rect">
                    <a:avLst/>
                  </a:prstGeom>
                </pic:spPr>
              </pic:pic>
            </a:graphicData>
          </a:graphic>
        </wp:anchor>
      </w:drawing>
    </w:r>
    <w:r w:rsidR="00934608">
      <w:rPr>
        <w:noProof/>
        <w:sz w:val="28"/>
        <w:szCs w:val="28"/>
      </w:rPr>
      <mc:AlternateContent>
        <mc:Choice Requires="wps">
          <w:drawing>
            <wp:anchor distT="4294967295" distB="4294967295" distL="114300" distR="114300" simplePos="0" relativeHeight="251661312" behindDoc="0" locked="0" layoutInCell="1" allowOverlap="1">
              <wp:simplePos x="0" y="0"/>
              <wp:positionH relativeFrom="column">
                <wp:posOffset>13335</wp:posOffset>
              </wp:positionH>
              <wp:positionV relativeFrom="paragraph">
                <wp:posOffset>-71756</wp:posOffset>
              </wp:positionV>
              <wp:extent cx="6299835" cy="0"/>
              <wp:effectExtent l="0" t="0" r="24765" b="19050"/>
              <wp:wrapNone/>
              <wp:docPr id="45" name="Connettore 1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Connettore 1 4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5pt,-5.65pt" to="497.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" strokecolor="white [3212]" strokeweight="1.25pt">
              <o:lock v:ext="edit" shapetype="f"/>
            </v:line>
          </w:pict>
        </mc:Fallback>
      </mc:AlternateContent>
    </w:r>
    <w:r w:rsidR="00934608">
      <w:rPr>
        <w:noProof/>
        <w:sz w:val="28"/>
        <w:szCs w:val="28"/>
      </w:rPr>
      <mc:AlternateContent>
        <mc:Choice Requires="wps">
          <w:drawing>
            <wp:anchor distT="4294967295" distB="4294967295" distL="114300" distR="114300" simplePos="0" relativeHeight="251660288" behindDoc="0" locked="0" layoutInCell="1" allowOverlap="1">
              <wp:simplePos x="0" y="0"/>
              <wp:positionH relativeFrom="column">
                <wp:posOffset>13970</wp:posOffset>
              </wp:positionH>
              <wp:positionV relativeFrom="paragraph">
                <wp:posOffset>-2493646</wp:posOffset>
              </wp:positionV>
              <wp:extent cx="6299835" cy="0"/>
              <wp:effectExtent l="0" t="0" r="24765" b="19050"/>
              <wp:wrapNone/>
              <wp:docPr id="46" name="Connettore 1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Connettore 1 4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pt,-196.35pt" to="497.15pt,-1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" strokecolor="white [3212]" strokeweight="1.25pt">
              <o:lock v:ext="edit" shapetype="f"/>
            </v:line>
          </w:pict>
        </mc:Fallback>
      </mc:AlternateContent>
    </w:r>
  </w:p>
  <w:p w:rsidR="00DA25CC" w:rsidRDefault="00934608" w:rsidP="00842757">
    <w:pPr>
      <w:pStyle w:val="Pidipagina"/>
      <w:tabs>
        <w:tab w:val="clear" w:pos="4819"/>
        <w:tab w:val="clear" w:pos="9638"/>
        <w:tab w:val="left" w:pos="7773"/>
      </w:tabs>
    </w:pPr>
    <w:r>
      <w:rPr>
        <w:rFonts w:ascii="Arial Narrow" w:hAnsi="Arial Narrow"/>
        <w:noProof/>
        <w:color w:val="FFFFFF" w:themeColor="background1"/>
      </w:rPr>
      <mc:AlternateContent>
        <mc:Choice Requires="wps">
          <w:drawing>
            <wp:anchor distT="0" distB="0" distL="114300" distR="114300" simplePos="0" relativeHeight="251662336" behindDoc="0" locked="0" layoutInCell="0" allowOverlap="1">
              <wp:simplePos x="0" y="0"/>
              <wp:positionH relativeFrom="rightMargin">
                <wp:posOffset>45720</wp:posOffset>
              </wp:positionH>
              <wp:positionV relativeFrom="margin">
                <wp:posOffset>9759315</wp:posOffset>
              </wp:positionV>
              <wp:extent cx="398780" cy="329565"/>
              <wp:effectExtent l="0" t="0" r="0" b="0"/>
              <wp:wrapNone/>
              <wp:docPr id="5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29565"/>
                      </a:xfrm>
                      <a:prstGeom prst="rect">
                        <a:avLst/>
                      </a:prstGeom>
                      <a:noFill/>
                    </wps:spPr>
                    <wps:txbx>
                      <w:txbxContent>
                        <w:p w:rsidR="00DA25CC" w:rsidRPr="001B745D" w:rsidRDefault="00D93F89" w:rsidP="00ED45A5">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00DA25CC"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165F0B">
                            <w:rPr>
                              <w:rFonts w:ascii="Arial" w:hAnsi="Arial" w:cs="Arial"/>
                              <w:b/>
                              <w:noProof/>
                              <w:color w:val="244061" w:themeColor="accent1" w:themeShade="80"/>
                              <w:sz w:val="20"/>
                              <w:szCs w:val="20"/>
                            </w:rPr>
                            <w:t>16</w:t>
                          </w:r>
                          <w:r w:rsidRPr="00CA469E">
                            <w:rPr>
                              <w:rFonts w:ascii="Arial" w:hAnsi="Arial" w:cs="Arial"/>
                              <w:b/>
                              <w:color w:val="244061" w:themeColor="accent1" w:themeShade="80"/>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_x0000_s1032" style="position:absolute;left:0;text-align:left;margin-left:3.6pt;margin-top:768.45pt;width:31.4pt;height:25.95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" o:allowincell="f" filled="f" stroked="f">
              <v:textbox>
                <w:txbxContent>
                  <w:p w:rsidR="00DA25CC" w:rsidRPr="001B745D" w:rsidRDefault="00D93F89" w:rsidP="00ED45A5">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00DA25CC"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165F0B">
                      <w:rPr>
                        <w:rFonts w:ascii="Arial" w:hAnsi="Arial" w:cs="Arial"/>
                        <w:b/>
                        <w:noProof/>
                        <w:color w:val="244061" w:themeColor="accent1" w:themeShade="80"/>
                        <w:sz w:val="20"/>
                        <w:szCs w:val="20"/>
                      </w:rPr>
                      <w:t>16</w:t>
                    </w:r>
                    <w:r w:rsidRPr="00CA469E">
                      <w:rPr>
                        <w:rFonts w:ascii="Arial" w:hAnsi="Arial" w:cs="Arial"/>
                        <w:b/>
                        <w:color w:val="244061" w:themeColor="accent1" w:themeShade="80"/>
                        <w:sz w:val="20"/>
                        <w:szCs w:val="20"/>
                      </w:rPr>
                      <w:fldChar w:fldCharType="end"/>
                    </w:r>
                  </w:p>
                </w:txbxContent>
              </v:textbox>
              <w10:wrap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DE6" w:rsidRDefault="003A1DE6">
      <w:r>
        <w:separator/>
      </w:r>
    </w:p>
  </w:footnote>
  <w:footnote w:type="continuationSeparator" w:id="0">
    <w:p w:rsidR="003A1DE6" w:rsidRDefault="003A1DE6">
      <w:r>
        <w:continuationSeparator/>
      </w:r>
    </w:p>
  </w:footnote>
  <w:footnote w:id="1">
    <w:p w:rsidR="00DA25CC" w:rsidRPr="005528F5" w:rsidRDefault="00DA25CC" w:rsidP="00A549BF">
      <w:pPr>
        <w:pStyle w:val="Nessunaspaziatura"/>
        <w:jc w:val="both"/>
        <w:rPr>
          <w:rFonts w:ascii="Arial" w:hAnsi="Arial" w:cs="Arial"/>
          <w:sz w:val="16"/>
          <w:szCs w:val="20"/>
        </w:rPr>
      </w:pPr>
      <w:r w:rsidRPr="008E0407">
        <w:rPr>
          <w:rStyle w:val="Rimandonotaapidipagina"/>
          <w:rFonts w:ascii="Arial Narrow" w:hAnsi="Arial Narrow"/>
          <w:sz w:val="16"/>
          <w:szCs w:val="20"/>
        </w:rPr>
        <w:footnoteRef/>
      </w:r>
      <w:r w:rsidR="008E1982">
        <w:rPr>
          <w:rFonts w:ascii="Arial" w:hAnsi="Arial" w:cs="Arial"/>
          <w:sz w:val="16"/>
          <w:szCs w:val="20"/>
        </w:rPr>
        <w:t xml:space="preserve"> </w:t>
      </w:r>
      <w:r w:rsidRPr="005528F5">
        <w:rPr>
          <w:rFonts w:ascii="Arial" w:hAnsi="Arial" w:cs="Arial"/>
          <w:sz w:val="16"/>
          <w:szCs w:val="20"/>
        </w:rPr>
        <w:t>Stimare alcune attività dell’economia illegale non equivale a misurare il fatturato o la ricchezza delle organizzazioni criminali, sia perché l’analisi è limitata a un sotto-insieme di attività, sia perché non si prendono in considerazione le attività legali possedute da soggetti criminali.</w:t>
      </w:r>
    </w:p>
  </w:footnote>
  <w:footnote w:id="2">
    <w:p w:rsidR="00DA25CC" w:rsidRPr="005528F5" w:rsidRDefault="00DA25CC" w:rsidP="00A549BF">
      <w:pPr>
        <w:pStyle w:val="Nessunaspaziatura"/>
        <w:jc w:val="both"/>
        <w:rPr>
          <w:rFonts w:ascii="Arial" w:hAnsi="Arial" w:cs="Arial"/>
          <w:sz w:val="16"/>
          <w:szCs w:val="20"/>
        </w:rPr>
      </w:pPr>
      <w:r w:rsidRPr="005528F5">
        <w:rPr>
          <w:rStyle w:val="Rimandonotaapidipagina"/>
          <w:rFonts w:ascii="Arial" w:hAnsi="Arial" w:cs="Arial"/>
          <w:sz w:val="16"/>
        </w:rPr>
        <w:footnoteRef/>
      </w:r>
      <w:r w:rsidRPr="005528F5">
        <w:rPr>
          <w:rFonts w:ascii="Arial" w:hAnsi="Arial" w:cs="Arial"/>
          <w:sz w:val="16"/>
        </w:rPr>
        <w:t xml:space="preserve"> L’incidenza del sommerso</w:t>
      </w:r>
      <w:r w:rsidR="00710108">
        <w:rPr>
          <w:rFonts w:ascii="Arial" w:hAnsi="Arial" w:cs="Arial"/>
          <w:sz w:val="16"/>
        </w:rPr>
        <w:t xml:space="preserve"> </w:t>
      </w:r>
      <w:r w:rsidRPr="005528F5">
        <w:rPr>
          <w:rFonts w:ascii="Arial" w:hAnsi="Arial" w:cs="Arial"/>
          <w:sz w:val="16"/>
        </w:rPr>
        <w:t xml:space="preserve">statistico è stata ridotta significativamente grazie alle innovazioni nelle fonti informative sui conti economici delle imprese. La stima della componente regolare dell’economia è stata ottenuta </w:t>
      </w:r>
      <w:r w:rsidR="00EE7CFD">
        <w:rPr>
          <w:rFonts w:ascii="Arial" w:hAnsi="Arial" w:cs="Arial"/>
          <w:sz w:val="16"/>
        </w:rPr>
        <w:t xml:space="preserve">– a partire dalle stime prodotte con la revisione generale dei Conti Nazionali del 2014 – </w:t>
      </w:r>
      <w:r w:rsidRPr="005528F5">
        <w:rPr>
          <w:rFonts w:ascii="Arial" w:hAnsi="Arial" w:cs="Arial"/>
          <w:sz w:val="16"/>
        </w:rPr>
        <w:t>attraverso l’elaborazione di una nuova base dati annuale di tipo censuario, che contiene informazioni individuali per tutto l’universo delle imprese attive. Questo prodotto statistico (denominato Frame-SBS) nasce da una complessa procedura di integrazione di dati d’indagine e amministrativi e per le principali variabili non è affetto da errori campionari.  La sua introduzione, diminuendo il ricorso alle basi di dati di tipo campionario e annullando virtualmente l’errore statistico, rende marginale l’incidenza del sommerso connesso all’inefficienza delle basi informative.</w:t>
      </w:r>
    </w:p>
  </w:footnote>
  <w:footnote w:id="3">
    <w:p w:rsidR="00DA25CC" w:rsidRPr="008E0407" w:rsidRDefault="00DA25CC" w:rsidP="00A549BF">
      <w:pPr>
        <w:pStyle w:val="Nessunaspaziatura"/>
        <w:jc w:val="both"/>
        <w:rPr>
          <w:rFonts w:ascii="Arial" w:hAnsi="Arial" w:cs="Arial"/>
          <w:sz w:val="16"/>
          <w:szCs w:val="16"/>
        </w:rPr>
      </w:pPr>
      <w:r w:rsidRPr="008E0407">
        <w:rPr>
          <w:rStyle w:val="Rimandonotaapidipagina"/>
          <w:rFonts w:ascii="Arial" w:hAnsi="Arial" w:cs="Arial"/>
          <w:sz w:val="16"/>
          <w:szCs w:val="16"/>
        </w:rPr>
        <w:footnoteRef/>
      </w:r>
      <w:r w:rsidRPr="008E0407">
        <w:rPr>
          <w:rFonts w:ascii="Arial" w:hAnsi="Arial" w:cs="Arial"/>
          <w:sz w:val="16"/>
          <w:szCs w:val="16"/>
        </w:rPr>
        <w:t xml:space="preserve"> L’esclusione delle grandi imprese (da 100 addetti in su) dalla procedura di rivalutazione del valore aggiunto sommerso è dettata dai  seguenti motivi: (1) le evidenze delle analisi sugli accertamenti fiscali indicano che in genere le imprese di più grandi dimensioni adottano comportamenti evasivi complessi con strategie di </w:t>
      </w:r>
      <w:r w:rsidRPr="008E0407">
        <w:rPr>
          <w:rFonts w:ascii="Arial" w:hAnsi="Arial" w:cs="Arial"/>
          <w:i/>
          <w:sz w:val="16"/>
          <w:szCs w:val="16"/>
        </w:rPr>
        <w:t>tax planning</w:t>
      </w:r>
      <w:r w:rsidRPr="008E0407">
        <w:rPr>
          <w:rFonts w:ascii="Arial" w:hAnsi="Arial" w:cs="Arial"/>
          <w:sz w:val="16"/>
          <w:szCs w:val="16"/>
        </w:rPr>
        <w:t xml:space="preserve"> che travalicano i confini nazionali; (2) applicare modelli statistici quali quelli individuati per le imprese di minore dimensione incontrerebbe difficoltà operative, legate in primo luogo alla ridotta numerosità delle osservazioni (in particolare  escludendo le imprese appartenenti a gruppi). Per queste imprese è necessario prevedere un diverso approccio, apposite fonti informative e specifici strumenti, che sinora non è stato possibile individuare. </w:t>
      </w:r>
    </w:p>
  </w:footnote>
  <w:footnote w:id="4">
    <w:p w:rsidR="00DA25CC" w:rsidRPr="008E0407" w:rsidRDefault="00DA25CC" w:rsidP="00A549BF">
      <w:pPr>
        <w:pStyle w:val="Nessunaspaziatura"/>
        <w:jc w:val="both"/>
        <w:rPr>
          <w:rFonts w:ascii="Arial" w:hAnsi="Arial" w:cs="Arial"/>
          <w:sz w:val="16"/>
          <w:szCs w:val="16"/>
        </w:rPr>
      </w:pPr>
      <w:r w:rsidRPr="008E0407">
        <w:rPr>
          <w:rStyle w:val="Rimandonotaapidipagina"/>
          <w:rFonts w:ascii="Arial" w:hAnsi="Arial" w:cs="Arial"/>
          <w:sz w:val="16"/>
          <w:szCs w:val="16"/>
        </w:rPr>
        <w:footnoteRef/>
      </w:r>
      <w:r w:rsidRPr="008E0407">
        <w:rPr>
          <w:rFonts w:ascii="Arial" w:hAnsi="Arial" w:cs="Arial"/>
          <w:sz w:val="16"/>
          <w:szCs w:val="16"/>
        </w:rPr>
        <w:t xml:space="preserve"> Le condizioni di non trattabilità ed esclusione riguardano diverse casistiche: (1) unità per le quali non esiste per definizione il fenomeno della sotto-dichiarazione (imprese controllate da unità istituzionali che fanno parte del settore delle Amministrazioni Pubbliche, o operanti in mercati regolamentati); (2) imprese per le quali non c’è adeguata disponibilità di fonti informative; (3) imprese per cui particolari eventi (procedure fallimentari, amministrazione controllata) o lo stato di avviamento impediscono un’efficiente applicazione dei modelli; (4) unità con valori economici influenzati da specifiche condizioni (imprese la cui attività principale è la compravendita di beni immobili propri, in cui il trattamento degli immobili come attivo circolante distorce la definizione di valore aggiunto).</w:t>
      </w:r>
    </w:p>
  </w:footnote>
  <w:footnote w:id="5">
    <w:p w:rsidR="00DA25CC" w:rsidRPr="008E0407" w:rsidRDefault="00DA25CC" w:rsidP="00A549BF">
      <w:pPr>
        <w:pStyle w:val="Nessunaspaziatura"/>
        <w:jc w:val="both"/>
        <w:rPr>
          <w:rFonts w:ascii="Arial" w:hAnsi="Arial" w:cs="Arial"/>
          <w:sz w:val="16"/>
          <w:szCs w:val="16"/>
        </w:rPr>
      </w:pPr>
      <w:r w:rsidRPr="008E0407">
        <w:rPr>
          <w:rStyle w:val="Rimandonotaapidipagina"/>
          <w:rFonts w:ascii="Arial" w:hAnsi="Arial" w:cs="Arial"/>
          <w:sz w:val="16"/>
          <w:szCs w:val="16"/>
        </w:rPr>
        <w:footnoteRef/>
      </w:r>
      <w:r w:rsidRPr="008E0407">
        <w:rPr>
          <w:rFonts w:ascii="Arial" w:hAnsi="Arial" w:cs="Arial"/>
          <w:sz w:val="16"/>
          <w:szCs w:val="16"/>
        </w:rPr>
        <w:t xml:space="preserve"> Per gruppo di impresa si intende un’associazione di unità legali controllate da un’unità vertice. Il Regolamento Ue n. 696/1993 definisce il gruppo di impresa come un’associazione di imprese retta da legami di tipo finanziario e non, avente diversi centri decisionali (in particolare per quel che concerne la politica della produzione, della vendita, degli utili) e in grado di unificare alcuni aspetti della gestione finanziaria e della fiscalità. Il gruppo si caratterizza come l’entità economica che può effettuare scelte con particolare riguardo alle unità alleate che lo compongono.</w:t>
      </w:r>
    </w:p>
  </w:footnote>
  <w:footnote w:id="6">
    <w:p w:rsidR="003868DB" w:rsidRPr="00F87E4E" w:rsidRDefault="003868DB" w:rsidP="00CF23CE">
      <w:pPr>
        <w:pStyle w:val="Testonotaapidipagina"/>
        <w:jc w:val="both"/>
        <w:rPr>
          <w:rFonts w:ascii="Arial" w:eastAsiaTheme="minorHAnsi" w:hAnsi="Arial" w:cs="Arial"/>
          <w:sz w:val="16"/>
          <w:szCs w:val="16"/>
          <w:lang w:eastAsia="en-US"/>
        </w:rPr>
      </w:pPr>
      <w:r w:rsidRPr="00F87E4E">
        <w:rPr>
          <w:rFonts w:ascii="Arial" w:eastAsiaTheme="minorHAnsi" w:hAnsi="Arial" w:cs="Arial"/>
          <w:sz w:val="16"/>
          <w:szCs w:val="16"/>
          <w:lang w:eastAsia="en-US"/>
        </w:rPr>
        <w:footnoteRef/>
      </w:r>
      <w:r w:rsidRPr="00F87E4E">
        <w:rPr>
          <w:rFonts w:ascii="Arial" w:eastAsiaTheme="minorHAnsi" w:hAnsi="Arial" w:cs="Arial"/>
          <w:sz w:val="16"/>
          <w:szCs w:val="16"/>
          <w:lang w:eastAsia="en-US"/>
        </w:rPr>
        <w:t xml:space="preserve"> L’analisi ROC è un</w:t>
      </w:r>
      <w:r w:rsidRPr="003868DB">
        <w:rPr>
          <w:rFonts w:ascii="Arial" w:eastAsiaTheme="minorHAnsi" w:hAnsi="Arial" w:cs="Arial"/>
          <w:sz w:val="16"/>
          <w:szCs w:val="16"/>
          <w:lang w:eastAsia="en-US"/>
        </w:rPr>
        <w:t xml:space="preserve">a metodologia che consente la classificazione </w:t>
      </w:r>
      <w:r>
        <w:rPr>
          <w:rFonts w:ascii="Arial" w:eastAsiaTheme="minorHAnsi" w:hAnsi="Arial" w:cs="Arial"/>
          <w:sz w:val="16"/>
          <w:szCs w:val="16"/>
          <w:lang w:eastAsia="en-US"/>
        </w:rPr>
        <w:t xml:space="preserve">delle osservazioni sulla base di un algoritmo di ottimizzazione del potere informativo di un modello logistico. La massimizzazione consente di definire un punto di cut-off delle osservazioni dato il peso relativo che si assegna agli errori. In questo modo, il metodo permette di definire un valore soglia dell’indicatore composito che consente di classificare le imprese come sotto-dichiaranti o non sotto-dichiaranti. Il metodo è particolarmente usato in medicina e </w:t>
      </w:r>
      <w:r w:rsidRPr="00F87E4E">
        <w:rPr>
          <w:rFonts w:ascii="Arial" w:eastAsiaTheme="minorHAnsi" w:hAnsi="Arial" w:cs="Arial"/>
          <w:i/>
          <w:sz w:val="16"/>
          <w:szCs w:val="16"/>
          <w:lang w:eastAsia="en-US"/>
        </w:rPr>
        <w:t>machine learning</w:t>
      </w:r>
      <w:r>
        <w:rPr>
          <w:rFonts w:ascii="Arial" w:eastAsiaTheme="minorHAnsi" w:hAnsi="Arial" w:cs="Arial"/>
          <w:sz w:val="16"/>
          <w:szCs w:val="16"/>
          <w:lang w:eastAsia="en-US"/>
        </w:rPr>
        <w:t>, ma negli ultimi anni ha trovato applicazione anche in economia.</w:t>
      </w:r>
    </w:p>
  </w:footnote>
  <w:footnote w:id="7">
    <w:p w:rsidR="00DA25CC" w:rsidRPr="008E0407" w:rsidRDefault="00DA25CC" w:rsidP="00CF23CE">
      <w:pPr>
        <w:pStyle w:val="Nessunaspaziatura"/>
        <w:jc w:val="both"/>
        <w:rPr>
          <w:rFonts w:ascii="Arial" w:hAnsi="Arial" w:cs="Arial"/>
          <w:sz w:val="16"/>
          <w:szCs w:val="16"/>
        </w:rPr>
      </w:pPr>
      <w:r w:rsidRPr="008E0407">
        <w:rPr>
          <w:rStyle w:val="Rimandonotaapidipagina"/>
          <w:rFonts w:ascii="Arial" w:hAnsi="Arial" w:cs="Arial"/>
          <w:sz w:val="16"/>
          <w:szCs w:val="16"/>
        </w:rPr>
        <w:footnoteRef/>
      </w:r>
      <w:r w:rsidRPr="008E0407">
        <w:rPr>
          <w:rFonts w:ascii="Arial" w:hAnsi="Arial" w:cs="Arial"/>
          <w:sz w:val="16"/>
          <w:szCs w:val="16"/>
        </w:rPr>
        <w:t xml:space="preserve"> La metodologia per la costruzione della base dati integrata tra Rilevazione Forze di Lavoro e archivi amministrativi è stata sviluppata da un Gruppo di Lavoro costituito da esperti dell’Istituto Nazionale di Statistica. Le analisi preliminari e la metodologia sviluppata sono de</w:t>
      </w:r>
      <w:r>
        <w:rPr>
          <w:rFonts w:ascii="Arial" w:hAnsi="Arial" w:cs="Arial"/>
          <w:sz w:val="16"/>
          <w:szCs w:val="16"/>
        </w:rPr>
        <w:t xml:space="preserve">scritte in dettaglio in AA.VV., (2015) </w:t>
      </w:r>
      <w:r w:rsidRPr="008E0407">
        <w:rPr>
          <w:rFonts w:ascii="Arial" w:hAnsi="Arial" w:cs="Arial"/>
          <w:sz w:val="16"/>
          <w:szCs w:val="16"/>
        </w:rPr>
        <w:t>“Soluzioni metodologiche per l’utilizzo integrato delle fonti statistiche per le stime dell’occupazione”, Istat Working Papers</w:t>
      </w:r>
      <w:r>
        <w:rPr>
          <w:rFonts w:ascii="Arial" w:hAnsi="Arial" w:cs="Arial"/>
          <w:sz w:val="16"/>
          <w:szCs w:val="16"/>
        </w:rPr>
        <w:t>,n.19 (</w:t>
      </w:r>
      <w:hyperlink r:id="rId1" w:history="1">
        <w:r w:rsidRPr="002D6220">
          <w:rPr>
            <w:rFonts w:ascii="Arial" w:hAnsi="Arial" w:cs="Arial"/>
            <w:sz w:val="16"/>
            <w:szCs w:val="16"/>
          </w:rPr>
          <w:t>https://www.istat.it/it/files/2015/12/IWP_19_2015.pdf</w:t>
        </w:r>
      </w:hyperlink>
      <w:r w:rsidRPr="002D6220">
        <w:rPr>
          <w:rFonts w:ascii="Arial" w:hAnsi="Arial" w:cs="Arial"/>
          <w:sz w:val="16"/>
          <w:szCs w:val="16"/>
        </w:rPr>
        <w:t>)</w:t>
      </w:r>
    </w:p>
  </w:footnote>
  <w:footnote w:id="8">
    <w:p w:rsidR="00DA25CC" w:rsidRPr="001A6FB8" w:rsidRDefault="00DA25CC" w:rsidP="00577E3D">
      <w:pPr>
        <w:pStyle w:val="Testonotaapidipagina"/>
        <w:spacing w:after="60"/>
        <w:jc w:val="both"/>
        <w:rPr>
          <w:rFonts w:ascii="Arial" w:eastAsiaTheme="minorHAnsi" w:hAnsi="Arial" w:cs="Arial"/>
          <w:sz w:val="16"/>
          <w:szCs w:val="16"/>
          <w:lang w:eastAsia="en-US"/>
        </w:rPr>
      </w:pPr>
      <w:r w:rsidRPr="001A6FB8">
        <w:rPr>
          <w:rStyle w:val="Rimandonotaapidipagina"/>
          <w:rFonts w:ascii="Arial" w:eastAsiaTheme="minorHAnsi" w:hAnsi="Arial" w:cs="Arial"/>
          <w:sz w:val="16"/>
          <w:szCs w:val="16"/>
          <w:lang w:eastAsia="en-US"/>
        </w:rPr>
        <w:footnoteRef/>
      </w:r>
      <w:r w:rsidR="00165F0B">
        <w:rPr>
          <w:rFonts w:ascii="Arial" w:eastAsiaTheme="minorHAnsi" w:hAnsi="Arial" w:cs="Arial"/>
          <w:sz w:val="16"/>
          <w:szCs w:val="16"/>
          <w:lang w:eastAsia="en-US"/>
        </w:rPr>
        <w:t xml:space="preserve"> </w:t>
      </w:r>
      <w:r w:rsidRPr="001A6FB8">
        <w:rPr>
          <w:rFonts w:ascii="Arial" w:eastAsiaTheme="minorHAnsi" w:hAnsi="Arial" w:cs="Arial"/>
          <w:sz w:val="16"/>
          <w:szCs w:val="16"/>
          <w:lang w:eastAsia="en-US"/>
        </w:rPr>
        <w:t>Per gli archivi amministrativi si è riscontrata una sovra-copertura riconducibile alla presenza di versamenti contributivi cui non corrisponde una effettiva prestazione lavorativa (coperture contributive “deboli” in termini di durata o importi versati collegate a persone che nell’indagine FL risultano “non occupate” o non attive). Il modello di stima ha evidenziato, inoltre, la tendenza di alcuni intervistati a non dichiarare attività lavorative effettivamente svolte per le quali figurano coperture contributive significative. Il metodo di stima ha corretto entrambe le distorsioni attraverso un modello probabilistico che annulla i segnali amministrativi “deboli” e che assume la presenza di una copertura amministrativa come indicatore della</w:t>
      </w:r>
      <w:r w:rsidR="00577E3D">
        <w:rPr>
          <w:rFonts w:ascii="Arial" w:eastAsiaTheme="minorHAnsi" w:hAnsi="Arial" w:cs="Arial"/>
          <w:sz w:val="16"/>
          <w:szCs w:val="16"/>
          <w:lang w:eastAsia="en-US"/>
        </w:rPr>
        <w:t xml:space="preserve"> </w:t>
      </w:r>
      <w:r w:rsidRPr="001A6FB8">
        <w:rPr>
          <w:rFonts w:ascii="Arial" w:eastAsiaTheme="minorHAnsi" w:hAnsi="Arial" w:cs="Arial"/>
          <w:sz w:val="16"/>
          <w:szCs w:val="16"/>
          <w:lang w:eastAsia="en-US"/>
        </w:rPr>
        <w:t>condizione di occupato anche per le persone che non si dichiarano tali all’indagine campionaria</w:t>
      </w:r>
      <w:r>
        <w:rPr>
          <w:rFonts w:ascii="Arial" w:eastAsiaTheme="minorHAnsi" w:hAnsi="Arial" w:cs="Arial"/>
          <w:sz w:val="16"/>
          <w:szCs w:val="16"/>
          <w:lang w:eastAsia="en-US"/>
        </w:rPr>
        <w:t>.</w:t>
      </w:r>
    </w:p>
  </w:footnote>
  <w:footnote w:id="9">
    <w:p w:rsidR="00DA25CC" w:rsidRPr="008E0407" w:rsidRDefault="00DA25CC" w:rsidP="00A549BF">
      <w:pPr>
        <w:jc w:val="both"/>
        <w:rPr>
          <w:rFonts w:ascii="Arial" w:eastAsiaTheme="minorHAnsi" w:hAnsi="Arial" w:cs="Arial"/>
          <w:sz w:val="16"/>
          <w:szCs w:val="16"/>
        </w:rPr>
      </w:pPr>
      <w:r w:rsidRPr="004163CC">
        <w:rPr>
          <w:rFonts w:eastAsiaTheme="minorHAnsi"/>
          <w:sz w:val="16"/>
          <w:vertAlign w:val="superscript"/>
          <w:lang w:eastAsia="en-US"/>
        </w:rPr>
        <w:footnoteRef/>
      </w:r>
      <w:r w:rsidR="00165F0B">
        <w:rPr>
          <w:rFonts w:ascii="Arial" w:eastAsiaTheme="minorHAnsi" w:hAnsi="Arial" w:cs="Arial"/>
          <w:sz w:val="16"/>
          <w:szCs w:val="16"/>
          <w:lang w:eastAsia="en-US"/>
        </w:rPr>
        <w:t xml:space="preserve"> </w:t>
      </w:r>
      <w:r w:rsidRPr="008E0407">
        <w:rPr>
          <w:rFonts w:ascii="Arial" w:eastAsiaTheme="minorHAnsi" w:hAnsi="Arial" w:cs="Arial"/>
          <w:sz w:val="16"/>
          <w:szCs w:val="16"/>
          <w:lang w:eastAsia="en-US"/>
        </w:rPr>
        <w:t xml:space="preserve">Le persone con titolo a soggiornare </w:t>
      </w:r>
      <w:r>
        <w:rPr>
          <w:rFonts w:ascii="Arial" w:eastAsiaTheme="minorHAnsi" w:hAnsi="Arial" w:cs="Arial"/>
          <w:sz w:val="16"/>
          <w:szCs w:val="16"/>
          <w:lang w:eastAsia="en-US"/>
        </w:rPr>
        <w:t xml:space="preserve">non residenti </w:t>
      </w:r>
      <w:r w:rsidRPr="008E0407">
        <w:rPr>
          <w:rFonts w:ascii="Arial" w:eastAsiaTheme="minorHAnsi" w:hAnsi="Arial" w:cs="Arial"/>
          <w:sz w:val="16"/>
          <w:szCs w:val="16"/>
          <w:lang w:eastAsia="en-US"/>
        </w:rPr>
        <w:t xml:space="preserve">sono </w:t>
      </w:r>
      <w:r>
        <w:rPr>
          <w:rFonts w:ascii="Arial" w:eastAsiaTheme="minorHAnsi" w:hAnsi="Arial" w:cs="Arial"/>
          <w:sz w:val="16"/>
          <w:szCs w:val="16"/>
          <w:lang w:eastAsia="en-US"/>
        </w:rPr>
        <w:t>individuate attraverso le informazioni sulla residenza</w:t>
      </w:r>
      <w:r>
        <w:rPr>
          <w:rFonts w:ascii="Arial" w:eastAsiaTheme="minorHAnsi" w:hAnsi="Arial" w:cs="Arial"/>
          <w:sz w:val="16"/>
          <w:szCs w:val="16"/>
        </w:rPr>
        <w:t xml:space="preserve"> presenti nel Registro base individui. </w:t>
      </w:r>
      <w:r w:rsidRPr="008E0407">
        <w:rPr>
          <w:rFonts w:ascii="Arial" w:eastAsiaTheme="minorHAnsi" w:hAnsi="Arial" w:cs="Arial"/>
          <w:sz w:val="16"/>
          <w:szCs w:val="16"/>
        </w:rPr>
        <w:t xml:space="preserve">Per questa popolazione di stranieri presente in modo legale sul territorio italiano si è ipotizzato che una parte lavori in modo regolare e una parte in modo non regolare. </w:t>
      </w:r>
      <w:r>
        <w:rPr>
          <w:rFonts w:ascii="Arial" w:eastAsiaTheme="minorHAnsi" w:hAnsi="Arial" w:cs="Arial"/>
          <w:sz w:val="16"/>
          <w:szCs w:val="16"/>
        </w:rPr>
        <w:t>Le posizioni regolari sono misurate</w:t>
      </w:r>
      <w:r w:rsidRPr="008E0407">
        <w:rPr>
          <w:rFonts w:ascii="Arial" w:eastAsiaTheme="minorHAnsi" w:hAnsi="Arial" w:cs="Arial"/>
          <w:sz w:val="16"/>
          <w:szCs w:val="16"/>
        </w:rPr>
        <w:t xml:space="preserve"> attraverso l’aggancio de</w:t>
      </w:r>
      <w:r>
        <w:rPr>
          <w:rFonts w:ascii="Arial" w:eastAsiaTheme="minorHAnsi" w:hAnsi="Arial" w:cs="Arial"/>
          <w:sz w:val="16"/>
          <w:szCs w:val="16"/>
        </w:rPr>
        <w:t>gli individui al Registro tematico del lavoro (struttura informativa di tipo LEED -</w:t>
      </w:r>
      <w:r w:rsidRPr="00FF170A">
        <w:rPr>
          <w:rFonts w:ascii="Arial" w:eastAsiaTheme="minorHAnsi" w:hAnsi="Arial" w:cs="Arial"/>
          <w:sz w:val="16"/>
          <w:szCs w:val="16"/>
        </w:rPr>
        <w:t xml:space="preserve"> Linked Employer Employee Database</w:t>
      </w:r>
      <w:r>
        <w:rPr>
          <w:rFonts w:ascii="Arial" w:eastAsiaTheme="minorHAnsi" w:hAnsi="Arial" w:cs="Arial"/>
          <w:sz w:val="16"/>
          <w:szCs w:val="16"/>
        </w:rPr>
        <w:t xml:space="preserve"> - che contiene tutte relazioni di lavoro attive), mentre le posizioni </w:t>
      </w:r>
      <w:r w:rsidRPr="008E0407">
        <w:rPr>
          <w:rFonts w:ascii="Arial" w:eastAsiaTheme="minorHAnsi" w:hAnsi="Arial" w:cs="Arial"/>
          <w:sz w:val="16"/>
          <w:szCs w:val="16"/>
        </w:rPr>
        <w:t>non regolar</w:t>
      </w:r>
      <w:r>
        <w:rPr>
          <w:rFonts w:ascii="Arial" w:eastAsiaTheme="minorHAnsi" w:hAnsi="Arial" w:cs="Arial"/>
          <w:sz w:val="16"/>
          <w:szCs w:val="16"/>
        </w:rPr>
        <w:t>i sono ottenute attraverso una stima indiretta.</w:t>
      </w:r>
      <w:r w:rsidRPr="008E0407">
        <w:rPr>
          <w:rFonts w:ascii="Arial" w:eastAsiaTheme="minorHAnsi" w:hAnsi="Arial" w:cs="Arial"/>
          <w:sz w:val="16"/>
          <w:szCs w:val="16"/>
        </w:rPr>
        <w:t xml:space="preserve">Quest’ultima viene calcolata assumendo che abbia lo stesso comportamento lavorativo, in termini di regolarità/irregolarità, degli stranieri residenti registrati in Fl-Admin.Per gli stranieri “clandestini”, invece, non disponendo di informazioni dirette la stima viene effettuata a livello aggregato utilizzando fonti di diversa natura relative al fenomeno dell’immigrazione: </w:t>
      </w:r>
      <w:r>
        <w:rPr>
          <w:rFonts w:ascii="Arial" w:eastAsiaTheme="minorHAnsi" w:hAnsi="Arial" w:cs="Arial"/>
          <w:sz w:val="16"/>
          <w:szCs w:val="16"/>
        </w:rPr>
        <w:t xml:space="preserve">le stime Istat sulla popolazione </w:t>
      </w:r>
      <w:r w:rsidRPr="008E0407">
        <w:rPr>
          <w:rFonts w:ascii="Arial" w:eastAsiaTheme="minorHAnsi" w:hAnsi="Arial" w:cs="Arial"/>
          <w:sz w:val="16"/>
          <w:szCs w:val="16"/>
        </w:rPr>
        <w:t>straniera non residente presente in Italia</w:t>
      </w:r>
      <w:r>
        <w:rPr>
          <w:rFonts w:ascii="Arial" w:eastAsiaTheme="minorHAnsi" w:hAnsi="Arial" w:cs="Arial"/>
          <w:sz w:val="16"/>
          <w:szCs w:val="16"/>
        </w:rPr>
        <w:t xml:space="preserve"> relative al regolamento europeo QMVP (n. 1260/2013),</w:t>
      </w:r>
      <w:r w:rsidRPr="008E0407">
        <w:rPr>
          <w:rFonts w:ascii="Arial" w:eastAsiaTheme="minorHAnsi" w:hAnsi="Arial" w:cs="Arial"/>
          <w:sz w:val="16"/>
          <w:szCs w:val="16"/>
        </w:rPr>
        <w:t xml:space="preserve"> dati amministrativi sui permessi di soggiorno scaduti e non rinnovati, </w:t>
      </w:r>
      <w:r>
        <w:rPr>
          <w:rFonts w:ascii="Arial" w:eastAsiaTheme="minorHAnsi" w:hAnsi="Arial" w:cs="Arial"/>
          <w:sz w:val="16"/>
          <w:szCs w:val="16"/>
        </w:rPr>
        <w:t>e</w:t>
      </w:r>
      <w:r w:rsidRPr="008E0407">
        <w:rPr>
          <w:rFonts w:ascii="Arial" w:eastAsiaTheme="minorHAnsi" w:hAnsi="Arial" w:cs="Arial"/>
          <w:sz w:val="16"/>
          <w:szCs w:val="16"/>
        </w:rPr>
        <w:t xml:space="preserve"> dati </w:t>
      </w:r>
      <w:r>
        <w:rPr>
          <w:rFonts w:ascii="Arial" w:eastAsiaTheme="minorHAnsi" w:hAnsi="Arial" w:cs="Arial"/>
          <w:sz w:val="16"/>
          <w:szCs w:val="16"/>
        </w:rPr>
        <w:t>di</w:t>
      </w:r>
      <w:r w:rsidRPr="008E0407">
        <w:rPr>
          <w:rFonts w:ascii="Arial" w:eastAsiaTheme="minorHAnsi" w:hAnsi="Arial" w:cs="Arial"/>
          <w:sz w:val="16"/>
          <w:szCs w:val="16"/>
        </w:rPr>
        <w:t xml:space="preserve"> Istituti di ricerca (in particolare l’Ismu)</w:t>
      </w:r>
      <w:r>
        <w:rPr>
          <w:rFonts w:ascii="Arial" w:eastAsiaTheme="minorHAnsi" w:hAnsi="Arial" w:cs="Arial"/>
          <w:sz w:val="16"/>
          <w:szCs w:val="16"/>
        </w:rPr>
        <w:t>.</w:t>
      </w:r>
    </w:p>
  </w:footnote>
  <w:footnote w:id="10">
    <w:p w:rsidR="00DA25CC" w:rsidRPr="008E0407" w:rsidRDefault="00DA25CC" w:rsidP="009C6676">
      <w:pPr>
        <w:pStyle w:val="Nessunaspaziatura"/>
        <w:spacing w:after="60"/>
        <w:jc w:val="both"/>
        <w:rPr>
          <w:rFonts w:ascii="Arial" w:hAnsi="Arial" w:cs="Arial"/>
          <w:sz w:val="16"/>
          <w:szCs w:val="16"/>
        </w:rPr>
      </w:pPr>
      <w:r w:rsidRPr="008E0407">
        <w:rPr>
          <w:rStyle w:val="Rimandonotaapidipagina"/>
          <w:rFonts w:ascii="Arial" w:hAnsi="Arial" w:cs="Arial"/>
          <w:sz w:val="16"/>
          <w:szCs w:val="16"/>
        </w:rPr>
        <w:footnoteRef/>
      </w:r>
      <w:r w:rsidRPr="008E0407">
        <w:rPr>
          <w:rFonts w:ascii="Arial" w:hAnsi="Arial" w:cs="Arial"/>
          <w:sz w:val="16"/>
          <w:szCs w:val="16"/>
        </w:rPr>
        <w:t xml:space="preserve"> La stima del valore degli affitti segue un approccio dal lat</w:t>
      </w:r>
      <w:r>
        <w:rPr>
          <w:rFonts w:ascii="Arial" w:hAnsi="Arial" w:cs="Arial"/>
          <w:sz w:val="16"/>
          <w:szCs w:val="16"/>
        </w:rPr>
        <w:t>o della spesa: per gli affitti residenziali la stima è basata</w:t>
      </w:r>
      <w:r w:rsidRPr="008E0407">
        <w:rPr>
          <w:rFonts w:ascii="Arial" w:hAnsi="Arial" w:cs="Arial"/>
          <w:sz w:val="16"/>
          <w:szCs w:val="16"/>
        </w:rPr>
        <w:t xml:space="preserve"> sullo stock di abitazioni di proprietà date in affitto, opportunamente stratificato, cui si appl</w:t>
      </w:r>
      <w:r>
        <w:rPr>
          <w:rFonts w:ascii="Arial" w:hAnsi="Arial" w:cs="Arial"/>
          <w:sz w:val="16"/>
          <w:szCs w:val="16"/>
        </w:rPr>
        <w:t xml:space="preserve">icano canoni medi di affitto; </w:t>
      </w:r>
      <w:r w:rsidRPr="008E0407">
        <w:rPr>
          <w:rFonts w:ascii="Arial" w:hAnsi="Arial" w:cs="Arial"/>
          <w:sz w:val="16"/>
          <w:szCs w:val="16"/>
        </w:rPr>
        <w:t>gli affitti non residenziali sono dati dalla spesa sostenuta dalle imprese per affitto di immobili ad uso strumentale (informazione presente nelle indagini).</w:t>
      </w:r>
    </w:p>
  </w:footnote>
  <w:footnote w:id="11">
    <w:p w:rsidR="00DA25CC" w:rsidRPr="00AF3D7F" w:rsidRDefault="00DA25CC" w:rsidP="00A549BF">
      <w:pPr>
        <w:jc w:val="both"/>
        <w:rPr>
          <w:rFonts w:ascii="Arial" w:hAnsi="Arial" w:cs="Arial"/>
          <w:sz w:val="16"/>
          <w:szCs w:val="16"/>
        </w:rPr>
      </w:pPr>
      <w:r w:rsidRPr="008E0407">
        <w:rPr>
          <w:rStyle w:val="Rimandonotaapidipagina"/>
          <w:rFonts w:ascii="Arial" w:hAnsi="Arial" w:cs="Arial"/>
          <w:sz w:val="16"/>
          <w:szCs w:val="16"/>
        </w:rPr>
        <w:footnoteRef/>
      </w:r>
      <w:r w:rsidRPr="008E0407">
        <w:rPr>
          <w:rFonts w:ascii="Arial" w:hAnsi="Arial" w:cs="Arial"/>
          <w:sz w:val="16"/>
          <w:szCs w:val="16"/>
        </w:rPr>
        <w:t xml:space="preserve"> I beni e servizi legali che vengono utilizzati nei processi produttivi illegali rappresentano l’indotto legale delle attività illegali e devono essere rappresentati all’interno del sistema dei conti. Tuttavia, essi possono essere già contabilizzati all’interno del sistema (ad esempio erroneamente classificati come consumi finali piuttosto che intermedi), oppure non essere contabilizzati. Nel primo caso, contabilizzarli interamente condurrebbe a una sovrastima delle componenti della domanda, mentre, nel second</w:t>
      </w:r>
      <w:r>
        <w:rPr>
          <w:rFonts w:ascii="Arial" w:hAnsi="Arial" w:cs="Arial"/>
          <w:sz w:val="16"/>
          <w:szCs w:val="16"/>
        </w:rPr>
        <w:t xml:space="preserve">o caso, </w:t>
      </w:r>
      <w:r w:rsidRPr="008E0407">
        <w:rPr>
          <w:rFonts w:ascii="Arial" w:hAnsi="Arial" w:cs="Arial"/>
          <w:sz w:val="16"/>
          <w:szCs w:val="16"/>
        </w:rPr>
        <w:t xml:space="preserve">una loro non contabilizzazione produrrebbe una sottostima delle componenti dell’offerta. Per evitare tali distorsioni sono stati condotti degli approfondimenti al fine di sviluppare ipotesi plausibili su quale sia la quota dell’indotto già contabilizzato e correggere la sua allocazione. In particolare, si è ritenuto di assumere che alcuni costi intermedi (quali l’abbigliamento nella prostituzione o le sostanze chimiche nell’adulterazione degli stupefacenti) fossero già compresi nei conti, mentre si è assunto che altre tipologie di consumi intermedi (come i servizi di trasporto connessi al traffico di stupefacenti o al contrabbando di tabacco) dovessero essere contabilizzate per intero. Tale scelta ha consentito, all’interno della procedura di stima, di isolare quella particolare quota di indotto delle attività illegali che non </w:t>
      </w:r>
      <w:r w:rsidRPr="00AF3D7F">
        <w:rPr>
          <w:rFonts w:ascii="Arial" w:hAnsi="Arial" w:cs="Arial"/>
          <w:sz w:val="16"/>
          <w:szCs w:val="16"/>
        </w:rPr>
        <w:t>viene in altro modo individuata come componente (emersa o sommersa) dell’economia legale.</w:t>
      </w:r>
    </w:p>
  </w:footnote>
  <w:footnote w:id="12">
    <w:p w:rsidR="00DA25CC" w:rsidRPr="00AF3D7F" w:rsidRDefault="00DA25CC" w:rsidP="00A549BF">
      <w:pPr>
        <w:jc w:val="both"/>
        <w:rPr>
          <w:rFonts w:ascii="Arial" w:hAnsi="Arial" w:cs="Arial"/>
          <w:sz w:val="16"/>
          <w:szCs w:val="16"/>
        </w:rPr>
      </w:pPr>
      <w:r w:rsidRPr="00AF3D7F">
        <w:rPr>
          <w:rFonts w:ascii="Arial" w:hAnsi="Arial" w:cs="Arial"/>
          <w:sz w:val="16"/>
          <w:szCs w:val="16"/>
          <w:vertAlign w:val="superscript"/>
        </w:rPr>
        <w:footnoteRef/>
      </w:r>
      <w:r w:rsidRPr="00AF3D7F">
        <w:rPr>
          <w:rFonts w:ascii="Arial" w:hAnsi="Arial" w:cs="Arial"/>
          <w:sz w:val="16"/>
          <w:szCs w:val="16"/>
        </w:rPr>
        <w:t xml:space="preserve"> Tale procedura viene applicata per la stima delle seguenti sostanze stupefacenti: Eroina, Cocaina, derivati della Cannabis, Anfetamine, Ecstasy, Lsd.</w:t>
      </w:r>
    </w:p>
  </w:footnote>
  <w:footnote w:id="13">
    <w:p w:rsidR="00DA25CC" w:rsidRPr="00AF3D7F" w:rsidRDefault="00DA25CC" w:rsidP="00A549BF">
      <w:pPr>
        <w:jc w:val="both"/>
        <w:rPr>
          <w:rFonts w:ascii="Arial" w:hAnsi="Arial" w:cs="Arial"/>
          <w:sz w:val="16"/>
          <w:szCs w:val="16"/>
        </w:rPr>
      </w:pPr>
      <w:r w:rsidRPr="00AF3D7F">
        <w:rPr>
          <w:rFonts w:ascii="Arial" w:hAnsi="Arial" w:cs="Arial"/>
          <w:sz w:val="16"/>
          <w:szCs w:val="16"/>
          <w:vertAlign w:val="superscript"/>
        </w:rPr>
        <w:footnoteRef/>
      </w:r>
      <w:r w:rsidRPr="00721BCF">
        <w:rPr>
          <w:rFonts w:ascii="Arial" w:hAnsi="Arial" w:cs="Arial"/>
          <w:sz w:val="16"/>
          <w:szCs w:val="16"/>
        </w:rPr>
        <w:t>Per quanto riguarda le attività illegali, le fonti di informazione dei consumatori di stupefacenti sono state aggiornate utilizzando l'Indagine sulla popolazione italiana su alcol e altre droghe (IPSAD), condotta dal CNR (Consiglio Nazionale delle Ricerche) e disponibile ogni due anni. L'ultima rilevazione fa riferimento al 2017. Per l’aggiornamento delle informazioni relative ai comportamenti si è fatto riferimento alla European Web Survey on Drugs (condotta dall'EMCDDA e dall'Istituto Trimbos) per l'anno 2017: si tratta di un'indagine online sui consumatori di droga, che raccoglie informazioni sulle quantità e la frequenza d'uso. I prezzi (al dettaglio e all'ingrosso) sono forniti annualmente dal Ministero degli Interni italiano.</w:t>
      </w:r>
      <w:r w:rsidRPr="00AF3D7F">
        <w:rPr>
          <w:rFonts w:ascii="Arial" w:hAnsi="Arial" w:cs="Arial"/>
          <w:sz w:val="16"/>
          <w:szCs w:val="16"/>
        </w:rPr>
        <w:t>.</w:t>
      </w:r>
    </w:p>
  </w:footnote>
  <w:footnote w:id="14">
    <w:p w:rsidR="00DA25CC" w:rsidRPr="00AF3D7F" w:rsidRDefault="00DA25CC" w:rsidP="00A549BF">
      <w:pPr>
        <w:jc w:val="both"/>
        <w:rPr>
          <w:rFonts w:ascii="Arial" w:hAnsi="Arial" w:cs="Arial"/>
          <w:sz w:val="16"/>
          <w:szCs w:val="16"/>
        </w:rPr>
      </w:pPr>
      <w:r w:rsidRPr="00AF3D7F">
        <w:rPr>
          <w:rFonts w:ascii="Arial" w:hAnsi="Arial" w:cs="Arial"/>
          <w:sz w:val="16"/>
          <w:szCs w:val="16"/>
          <w:vertAlign w:val="superscript"/>
        </w:rPr>
        <w:footnoteRef/>
      </w:r>
      <w:r w:rsidRPr="00AF3D7F">
        <w:rPr>
          <w:rFonts w:ascii="Arial" w:hAnsi="Arial" w:cs="Arial"/>
          <w:sz w:val="16"/>
          <w:szCs w:val="16"/>
        </w:rPr>
        <w:t xml:space="preserve"> Tale quota è stata definita sulla base di un confronto con gli esperti di analisi della Direzione Centrale dei Servizi Antidroga (Dcsa).</w:t>
      </w:r>
    </w:p>
  </w:footnote>
  <w:footnote w:id="15">
    <w:p w:rsidR="00DA25CC" w:rsidRPr="00AF3D7F" w:rsidRDefault="00DA25CC" w:rsidP="00A549BF">
      <w:pPr>
        <w:jc w:val="both"/>
        <w:rPr>
          <w:rFonts w:ascii="Arial" w:hAnsi="Arial" w:cs="Arial"/>
          <w:sz w:val="16"/>
          <w:szCs w:val="16"/>
        </w:rPr>
      </w:pPr>
      <w:r w:rsidRPr="00AF3D7F">
        <w:rPr>
          <w:rFonts w:ascii="Arial" w:hAnsi="Arial" w:cs="Arial"/>
          <w:sz w:val="16"/>
          <w:szCs w:val="16"/>
          <w:vertAlign w:val="superscript"/>
        </w:rPr>
        <w:footnoteRef/>
      </w:r>
      <w:r w:rsidRPr="00AF3D7F">
        <w:rPr>
          <w:rFonts w:ascii="Arial" w:hAnsi="Arial" w:cs="Arial"/>
          <w:sz w:val="16"/>
          <w:szCs w:val="16"/>
        </w:rPr>
        <w:t xml:space="preserve"> Agenzia delle Nazioni Unite per il controllo e la prevenzione del crimine. </w:t>
      </w:r>
    </w:p>
  </w:footnote>
  <w:footnote w:id="16">
    <w:p w:rsidR="00DA25CC" w:rsidRPr="008E0407" w:rsidRDefault="00DA25CC" w:rsidP="00A549BF">
      <w:pPr>
        <w:jc w:val="both"/>
        <w:rPr>
          <w:rFonts w:ascii="Arial" w:hAnsi="Arial" w:cs="Arial"/>
          <w:sz w:val="16"/>
          <w:szCs w:val="16"/>
        </w:rPr>
      </w:pPr>
      <w:r w:rsidRPr="00AF3D7F">
        <w:rPr>
          <w:rFonts w:ascii="Arial" w:hAnsi="Arial" w:cs="Arial"/>
          <w:sz w:val="16"/>
          <w:szCs w:val="16"/>
          <w:vertAlign w:val="superscript"/>
        </w:rPr>
        <w:footnoteRef/>
      </w:r>
      <w:r w:rsidRPr="00AF3D7F">
        <w:rPr>
          <w:rFonts w:ascii="Arial" w:hAnsi="Arial" w:cs="Arial"/>
          <w:sz w:val="16"/>
          <w:szCs w:val="16"/>
        </w:rPr>
        <w:t xml:space="preserve"> In particolare, il prezzo delle importazioni è ricavato come media fra il prezzo praticato sui mercati dei paesi produttori e quello implicito nel valore degli stupefacenti una volta raggiunta la frontiera italiana, tenendo in considerazione il fatto che la transazione può avvenire in qualsiasi punto geografico fra il paese produttore e quello di arrivo. Il prezzo di riferimento per le esportazioni è quello implicito nel valore deglistu</w:t>
      </w:r>
      <w:r w:rsidRPr="008E0407">
        <w:rPr>
          <w:rFonts w:ascii="Arial" w:hAnsi="Arial" w:cs="Arial"/>
          <w:sz w:val="16"/>
          <w:szCs w:val="16"/>
        </w:rPr>
        <w:t>pefacenti al primo livello di distribuzione sul territorio italiano. Il prezzo al consumo è ricavato quale media dei prezzi (minimo e massimo) forniti dal Ministero degli Interni.</w:t>
      </w:r>
    </w:p>
  </w:footnote>
  <w:footnote w:id="17">
    <w:p w:rsidR="00DA25CC" w:rsidRPr="008E0407" w:rsidRDefault="00DA25CC" w:rsidP="00A549BF">
      <w:pPr>
        <w:pStyle w:val="Nessunaspaziatura"/>
        <w:jc w:val="both"/>
        <w:rPr>
          <w:rFonts w:ascii="Arial" w:hAnsi="Arial" w:cs="Arial"/>
          <w:sz w:val="16"/>
          <w:szCs w:val="16"/>
        </w:rPr>
      </w:pPr>
      <w:r w:rsidRPr="008E0407">
        <w:rPr>
          <w:rStyle w:val="Rimandonotaapidipagina"/>
          <w:rFonts w:ascii="Arial" w:hAnsi="Arial" w:cs="Arial"/>
          <w:sz w:val="16"/>
          <w:szCs w:val="16"/>
        </w:rPr>
        <w:footnoteRef/>
      </w:r>
      <w:r w:rsidRPr="008E0407">
        <w:rPr>
          <w:rFonts w:ascii="Arial" w:hAnsi="Arial" w:cs="Arial"/>
          <w:sz w:val="16"/>
          <w:szCs w:val="16"/>
        </w:rPr>
        <w:t xml:space="preserve"> Sallusti, F. </w:t>
      </w:r>
      <w:r w:rsidRPr="008E0407">
        <w:rPr>
          <w:rFonts w:ascii="Arial" w:hAnsi="Arial" w:cs="Arial"/>
          <w:i/>
          <w:sz w:val="16"/>
          <w:szCs w:val="16"/>
        </w:rPr>
        <w:t>Organizzazioni criminali e relazioni nel mercato della droga: analisi e classificazione</w:t>
      </w:r>
      <w:r w:rsidRPr="008E0407">
        <w:rPr>
          <w:rFonts w:ascii="Arial" w:hAnsi="Arial" w:cs="Arial"/>
          <w:sz w:val="16"/>
          <w:szCs w:val="16"/>
        </w:rPr>
        <w:t>. L’industria, Anno XXXV n.2 aprile-giugno 2014.</w:t>
      </w:r>
    </w:p>
  </w:footnote>
  <w:footnote w:id="18">
    <w:p w:rsidR="00DA25CC" w:rsidRPr="00AF3D7F" w:rsidRDefault="00DA25CC" w:rsidP="00A549BF">
      <w:pPr>
        <w:pStyle w:val="Nessunaspaziatura"/>
        <w:jc w:val="both"/>
        <w:rPr>
          <w:rFonts w:ascii="Arial" w:hAnsi="Arial" w:cs="Arial"/>
          <w:sz w:val="16"/>
          <w:szCs w:val="16"/>
        </w:rPr>
      </w:pPr>
      <w:r w:rsidRPr="008E0407">
        <w:rPr>
          <w:rStyle w:val="Rimandonotaapidipagina"/>
          <w:rFonts w:ascii="Arial" w:hAnsi="Arial" w:cs="Arial"/>
          <w:sz w:val="16"/>
          <w:szCs w:val="16"/>
        </w:rPr>
        <w:footnoteRef/>
      </w:r>
      <w:r w:rsidRPr="008E0407">
        <w:rPr>
          <w:rFonts w:ascii="Arial" w:hAnsi="Arial" w:cs="Arial"/>
          <w:sz w:val="16"/>
          <w:szCs w:val="16"/>
        </w:rPr>
        <w:t xml:space="preserve"> I costi intermedi per tipologia, vengono stimati, per ciascuna attività lungo la filiera, come quote sul fatturato. Le informazioni sulle quote per </w:t>
      </w:r>
      <w:r w:rsidRPr="00AF3D7F">
        <w:rPr>
          <w:rFonts w:ascii="Arial" w:hAnsi="Arial" w:cs="Arial"/>
          <w:sz w:val="16"/>
          <w:szCs w:val="16"/>
        </w:rPr>
        <w:t>tipologia di costo intermedio è determinato sulla base delle informazioni fornite dagli esperti analisti della Dcsa.</w:t>
      </w:r>
    </w:p>
  </w:footnote>
  <w:footnote w:id="19">
    <w:p w:rsidR="00DA25CC" w:rsidRPr="00AF3D7F" w:rsidRDefault="00DA25CC" w:rsidP="00A549BF">
      <w:pPr>
        <w:pStyle w:val="Nessunaspaziatura"/>
        <w:jc w:val="both"/>
        <w:rPr>
          <w:rFonts w:ascii="Arial" w:hAnsi="Arial" w:cs="Arial"/>
          <w:sz w:val="16"/>
          <w:szCs w:val="16"/>
        </w:rPr>
      </w:pPr>
      <w:r w:rsidRPr="00AF3D7F">
        <w:rPr>
          <w:rFonts w:ascii="Arial" w:hAnsi="Arial" w:cs="Arial"/>
          <w:sz w:val="16"/>
          <w:szCs w:val="16"/>
          <w:vertAlign w:val="superscript"/>
        </w:rPr>
        <w:footnoteRef/>
      </w:r>
      <w:r w:rsidRPr="00AF3D7F">
        <w:rPr>
          <w:rFonts w:ascii="Arial" w:hAnsi="Arial" w:cs="Arial"/>
          <w:sz w:val="16"/>
          <w:szCs w:val="16"/>
        </w:rPr>
        <w:t xml:space="preserve"> Ai fini della quantificazione del fenomeno, l’Istat ha utilizzato principalmente dati riportati in studi specifici (Commissione Europea, Gruppo Abele e Codacons). </w:t>
      </w:r>
    </w:p>
  </w:footnote>
  <w:footnote w:id="20">
    <w:p w:rsidR="00DA25CC" w:rsidRPr="00AF3D7F" w:rsidRDefault="00DA25CC" w:rsidP="00A549BF">
      <w:pPr>
        <w:pStyle w:val="Nessunaspaziatura"/>
        <w:jc w:val="both"/>
        <w:rPr>
          <w:rFonts w:ascii="Arial" w:hAnsi="Arial" w:cs="Arial"/>
          <w:sz w:val="16"/>
          <w:szCs w:val="16"/>
        </w:rPr>
      </w:pPr>
      <w:r w:rsidRPr="00AF3D7F">
        <w:rPr>
          <w:rFonts w:ascii="Arial" w:hAnsi="Arial" w:cs="Arial"/>
          <w:sz w:val="16"/>
          <w:szCs w:val="16"/>
          <w:vertAlign w:val="superscript"/>
        </w:rPr>
        <w:footnoteRef/>
      </w:r>
      <w:r w:rsidRPr="00AF3D7F">
        <w:rPr>
          <w:rFonts w:ascii="Arial" w:hAnsi="Arial" w:cs="Arial"/>
          <w:sz w:val="16"/>
          <w:szCs w:val="16"/>
        </w:rPr>
        <w:t xml:space="preserve"> Le informazioni relative ai prezzi delle singole prestazioni sono state raccolte da un’associazione privata (Codacons, Coordinamento delle Associazioni per la Difesa dell'Ambiente e dei Diritti degli Utenti e dei Consumatori) che ha effettuato un’indagine campionaria sulle tre città Milano, Roma e Napoli.</w:t>
      </w:r>
    </w:p>
  </w:footnote>
  <w:footnote w:id="21">
    <w:p w:rsidR="00DA25CC" w:rsidRPr="00AF3D7F" w:rsidRDefault="00DA25CC" w:rsidP="00A549BF">
      <w:pPr>
        <w:pStyle w:val="Nessunaspaziatura"/>
        <w:jc w:val="both"/>
        <w:rPr>
          <w:rFonts w:ascii="Arial" w:hAnsi="Arial" w:cs="Arial"/>
          <w:sz w:val="16"/>
          <w:szCs w:val="16"/>
        </w:rPr>
      </w:pPr>
      <w:r w:rsidRPr="00AF3D7F">
        <w:rPr>
          <w:rFonts w:ascii="Arial" w:hAnsi="Arial" w:cs="Arial"/>
          <w:sz w:val="16"/>
          <w:szCs w:val="16"/>
          <w:vertAlign w:val="superscript"/>
        </w:rPr>
        <w:footnoteRef/>
      </w:r>
      <w:r w:rsidRPr="00AF3D7F">
        <w:rPr>
          <w:rFonts w:ascii="Arial" w:hAnsi="Arial" w:cs="Arial"/>
          <w:sz w:val="16"/>
          <w:szCs w:val="16"/>
        </w:rPr>
        <w:t xml:space="preserve"> Istat, Indagine annuale Aspetti della vita quotidiana.</w:t>
      </w:r>
    </w:p>
  </w:footnote>
  <w:footnote w:id="22">
    <w:p w:rsidR="00DA25CC" w:rsidRPr="008E0407" w:rsidRDefault="00DA25CC" w:rsidP="00A549BF">
      <w:pPr>
        <w:pStyle w:val="Nessunaspaziatura"/>
        <w:jc w:val="both"/>
        <w:rPr>
          <w:rStyle w:val="Rimandonotaapidipagina"/>
          <w:rFonts w:ascii="Arial" w:eastAsia="Times New Roman" w:hAnsi="Arial" w:cs="Arial"/>
          <w:sz w:val="16"/>
          <w:szCs w:val="16"/>
          <w:lang w:eastAsia="it-IT"/>
        </w:rPr>
      </w:pPr>
      <w:r w:rsidRPr="00AF3D7F">
        <w:rPr>
          <w:rFonts w:ascii="Arial" w:hAnsi="Arial" w:cs="Arial"/>
          <w:sz w:val="16"/>
          <w:szCs w:val="16"/>
          <w:vertAlign w:val="superscript"/>
        </w:rPr>
        <w:footnoteRef/>
      </w:r>
      <w:r w:rsidRPr="00AF3D7F">
        <w:rPr>
          <w:rFonts w:ascii="Arial" w:hAnsi="Arial" w:cs="Arial"/>
          <w:sz w:val="16"/>
          <w:szCs w:val="16"/>
        </w:rPr>
        <w:t xml:space="preserve"> Dati pubblicati dall’Amministrazione Autonoma dei Monopoli di Stato.</w:t>
      </w:r>
    </w:p>
  </w:footnote>
  <w:footnote w:id="23">
    <w:p w:rsidR="00DA25CC" w:rsidRPr="008E0407" w:rsidRDefault="00DA25CC" w:rsidP="00A549BF">
      <w:pPr>
        <w:pStyle w:val="Nessunaspaziatura"/>
        <w:rPr>
          <w:rFonts w:ascii="Arial" w:hAnsi="Arial" w:cs="Arial"/>
          <w:sz w:val="16"/>
          <w:szCs w:val="16"/>
        </w:rPr>
      </w:pPr>
      <w:r w:rsidRPr="008E0407">
        <w:rPr>
          <w:rStyle w:val="Rimandonotaapidipagina"/>
          <w:rFonts w:ascii="Arial" w:hAnsi="Arial" w:cs="Arial"/>
          <w:sz w:val="16"/>
          <w:szCs w:val="16"/>
        </w:rPr>
        <w:footnoteRef/>
      </w:r>
      <w:r w:rsidRPr="008E0407">
        <w:rPr>
          <w:rFonts w:ascii="Arial" w:hAnsi="Arial" w:cs="Arial"/>
          <w:sz w:val="16"/>
          <w:szCs w:val="16"/>
        </w:rPr>
        <w:t xml:space="preserve"> Le informazioni sui sequestri sono fornite dalla Guardia di Finanza.</w:t>
      </w:r>
    </w:p>
  </w:footnote>
  <w:footnote w:id="24">
    <w:p w:rsidR="00DA25CC" w:rsidRPr="008E0407" w:rsidRDefault="00DA25CC" w:rsidP="00A549BF">
      <w:pPr>
        <w:pStyle w:val="Nessunaspaziatura"/>
        <w:jc w:val="both"/>
        <w:rPr>
          <w:rFonts w:ascii="Arial" w:hAnsi="Arial" w:cs="Arial"/>
          <w:sz w:val="16"/>
          <w:szCs w:val="16"/>
        </w:rPr>
      </w:pPr>
      <w:r w:rsidRPr="008E0407">
        <w:rPr>
          <w:rStyle w:val="Rimandonotaapidipagina"/>
          <w:rFonts w:ascii="Arial" w:hAnsi="Arial" w:cs="Arial"/>
          <w:sz w:val="16"/>
          <w:szCs w:val="16"/>
        </w:rPr>
        <w:footnoteRef/>
      </w:r>
      <w:r w:rsidRPr="008E0407">
        <w:rPr>
          <w:rFonts w:ascii="Arial" w:hAnsi="Arial" w:cs="Arial"/>
          <w:sz w:val="16"/>
          <w:szCs w:val="16"/>
        </w:rPr>
        <w:t xml:space="preserve"> Non esistendo informazioni dirette sui prezzi all’importazione e al dettaglio vengono utilizzati i prezzi legali ridotti delle componenti di imposizione fiscale.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5CC" w:rsidRDefault="00934608" w:rsidP="00DF2FE2">
    <w:pPr>
      <w:pStyle w:val="Intestazione"/>
      <w:tabs>
        <w:tab w:val="left" w:pos="0"/>
      </w:tabs>
      <w:ind w:left="-851"/>
    </w:pPr>
    <w:r>
      <w:rPr>
        <w:noProof/>
      </w:rPr>
      <mc:AlternateContent>
        <mc:Choice Requires="wps">
          <w:drawing>
            <wp:anchor distT="0" distB="0" distL="114300" distR="114300" simplePos="0" relativeHeight="251658240" behindDoc="0" locked="0" layoutInCell="1" allowOverlap="1">
              <wp:simplePos x="0" y="0"/>
              <wp:positionH relativeFrom="column">
                <wp:posOffset>5397500</wp:posOffset>
              </wp:positionH>
              <wp:positionV relativeFrom="paragraph">
                <wp:posOffset>1270</wp:posOffset>
              </wp:positionV>
              <wp:extent cx="1625600" cy="396240"/>
              <wp:effectExtent l="0" t="0" r="0" b="38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396240"/>
                      </a:xfrm>
                      <a:prstGeom prst="rect">
                        <a:avLst/>
                      </a:prstGeom>
                      <a:solidFill>
                        <a:schemeClr val="tx2"/>
                      </a:solidFill>
                      <a:ln>
                        <a:noFill/>
                      </a:ln>
                    </wps:spPr>
                    <wps:txbx>
                      <w:txbxContent>
                        <w:p w:rsidR="00DA25CC" w:rsidRPr="00A804E3" w:rsidRDefault="00DA25CC" w:rsidP="00DF2FE2">
                          <w:pPr>
                            <w:autoSpaceDE w:val="0"/>
                            <w:autoSpaceDN w:val="0"/>
                            <w:adjustRightInd w:val="0"/>
                            <w:jc w:val="center"/>
                            <w:rPr>
                              <w:rFonts w:ascii="Arial Narrow" w:hAnsi="Arial Narrow" w:cs="Arial"/>
                              <w:b/>
                              <w:bCs/>
                              <w:color w:val="FFFFFF" w:themeColor="background1"/>
                              <w:sz w:val="8"/>
                              <w:szCs w:val="26"/>
                            </w:rPr>
                          </w:pPr>
                        </w:p>
                        <w:p w:rsidR="00DA25CC" w:rsidRPr="00690C34" w:rsidRDefault="00DA25CC" w:rsidP="00C309B1">
                          <w:pPr>
                            <w:autoSpaceDE w:val="0"/>
                            <w:autoSpaceDN w:val="0"/>
                            <w:adjustRightInd w:val="0"/>
                            <w:spacing w:before="40"/>
                            <w:jc w:val="center"/>
                            <w:rPr>
                              <w:rFonts w:ascii="Arial Narrow" w:hAnsi="Arial Narrow" w:cs="Arial"/>
                              <w:b/>
                              <w:bCs/>
                              <w:color w:val="FFFFFF" w:themeColor="background1"/>
                              <w:sz w:val="26"/>
                              <w:szCs w:val="26"/>
                            </w:rPr>
                          </w:pPr>
                          <w:r>
                            <w:rPr>
                              <w:rFonts w:ascii="Arial Narrow" w:hAnsi="Arial Narrow" w:cs="Arial"/>
                              <w:b/>
                              <w:bCs/>
                              <w:color w:val="FFFFFF" w:themeColor="background1"/>
                              <w:sz w:val="26"/>
                              <w:szCs w:val="26"/>
                            </w:rPr>
                            <w:t>15 OTTOBRE</w:t>
                          </w:r>
                          <w:r w:rsidRPr="00123E17">
                            <w:rPr>
                              <w:rFonts w:ascii="Arial Narrow" w:hAnsi="Arial Narrow" w:cs="Arial"/>
                              <w:b/>
                              <w:bCs/>
                              <w:color w:val="FFFFFF" w:themeColor="background1"/>
                              <w:sz w:val="26"/>
                              <w:szCs w:val="26"/>
                            </w:rPr>
                            <w:t xml:space="preserve"> 201</w:t>
                          </w:r>
                          <w:r>
                            <w:rPr>
                              <w:rFonts w:ascii="Arial Narrow" w:hAnsi="Arial Narrow" w:cs="Arial"/>
                              <w:b/>
                              <w:bCs/>
                              <w:color w:val="FFFFFF" w:themeColor="background1"/>
                              <w:sz w:val="26"/>
                              <w:szCs w:val="26"/>
                            </w:rPr>
                            <w:t>9</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left:0;text-align:left;margin-left:425pt;margin-top:.1pt;width:128pt;height:3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" fillcolor="#1f497d [3215]" stroked="f">
              <v:textbox inset="1.5mm,,1.5mm">
                <w:txbxContent>
                  <w:p w:rsidR="00DA25CC" w:rsidRPr="00A804E3" w:rsidRDefault="00DA25CC" w:rsidP="00DF2FE2">
                    <w:pPr>
                      <w:autoSpaceDE w:val="0"/>
                      <w:autoSpaceDN w:val="0"/>
                      <w:adjustRightInd w:val="0"/>
                      <w:jc w:val="center"/>
                      <w:rPr>
                        <w:rFonts w:ascii="Arial Narrow" w:hAnsi="Arial Narrow" w:cs="Arial"/>
                        <w:b/>
                        <w:bCs/>
                        <w:color w:val="FFFFFF" w:themeColor="background1"/>
                        <w:sz w:val="8"/>
                        <w:szCs w:val="26"/>
                      </w:rPr>
                    </w:pPr>
                  </w:p>
                  <w:p w:rsidR="00DA25CC" w:rsidRPr="00690C34" w:rsidRDefault="00DA25CC" w:rsidP="00C309B1">
                    <w:pPr>
                      <w:autoSpaceDE w:val="0"/>
                      <w:autoSpaceDN w:val="0"/>
                      <w:adjustRightInd w:val="0"/>
                      <w:spacing w:before="40"/>
                      <w:jc w:val="center"/>
                      <w:rPr>
                        <w:rFonts w:ascii="Arial Narrow" w:hAnsi="Arial Narrow" w:cs="Arial"/>
                        <w:b/>
                        <w:bCs/>
                        <w:color w:val="FFFFFF" w:themeColor="background1"/>
                        <w:sz w:val="26"/>
                        <w:szCs w:val="26"/>
                      </w:rPr>
                    </w:pPr>
                    <w:r>
                      <w:rPr>
                        <w:rFonts w:ascii="Arial Narrow" w:hAnsi="Arial Narrow" w:cs="Arial"/>
                        <w:b/>
                        <w:bCs/>
                        <w:color w:val="FFFFFF" w:themeColor="background1"/>
                        <w:sz w:val="26"/>
                        <w:szCs w:val="26"/>
                      </w:rPr>
                      <w:t>15 OTTOBRE</w:t>
                    </w:r>
                    <w:r w:rsidRPr="00123E17">
                      <w:rPr>
                        <w:rFonts w:ascii="Arial Narrow" w:hAnsi="Arial Narrow" w:cs="Arial"/>
                        <w:b/>
                        <w:bCs/>
                        <w:color w:val="FFFFFF" w:themeColor="background1"/>
                        <w:sz w:val="26"/>
                        <w:szCs w:val="26"/>
                      </w:rPr>
                      <w:t xml:space="preserve"> 201</w:t>
                    </w:r>
                    <w:r>
                      <w:rPr>
                        <w:rFonts w:ascii="Arial Narrow" w:hAnsi="Arial Narrow" w:cs="Arial"/>
                        <w:b/>
                        <w:bCs/>
                        <w:color w:val="FFFFFF" w:themeColor="background1"/>
                        <w:sz w:val="26"/>
                        <w:szCs w:val="26"/>
                      </w:rPr>
                      <w:t>9</w:t>
                    </w:r>
                  </w:p>
                </w:txbxContent>
              </v:textbox>
            </v:shape>
          </w:pict>
        </mc:Fallback>
      </mc:AlternateContent>
    </w:r>
    <w:r w:rsidR="00DA25CC">
      <w:rPr>
        <w:noProof/>
      </w:rPr>
      <w:drawing>
        <wp:inline distT="0" distB="0" distL="0" distR="0" wp14:anchorId="00B18E5E" wp14:editId="36AF6E63">
          <wp:extent cx="7560000" cy="1645200"/>
          <wp:effectExtent l="0" t="0" r="0" b="635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stateReport_Tavola disegno 1.jpg"/>
                  <pic:cNvPicPr/>
                </pic:nvPicPr>
                <pic:blipFill>
                  <a:blip r:embed="rId1"/>
                  <a:stretch>
                    <a:fillRect/>
                  </a:stretch>
                </pic:blipFill>
                <pic:spPr>
                  <a:xfrm>
                    <a:off x="0" y="0"/>
                    <a:ext cx="7560000" cy="16452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gliatabella"/>
      <w:tblW w:w="12339"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ook w:val="04A0" w:firstRow="1" w:lastRow="0" w:firstColumn="1" w:lastColumn="0" w:noHBand="0" w:noVBand="1"/>
    </w:tblPr>
    <w:tblGrid>
      <w:gridCol w:w="9323"/>
      <w:gridCol w:w="3016"/>
    </w:tblGrid>
    <w:tr w:rsidR="00DA25CC" w:rsidRPr="00DD6CCE" w:rsidTr="00C312B1">
      <w:trPr>
        <w:trHeight w:hRule="exact" w:val="567"/>
      </w:trPr>
      <w:tc>
        <w:tcPr>
          <w:tcW w:w="9323" w:type="dxa"/>
          <w:shd w:val="clear" w:color="auto" w:fill="1F497D" w:themeFill="text2"/>
          <w:vAlign w:val="center"/>
        </w:tcPr>
        <w:p w:rsidR="00DA25CC" w:rsidRPr="005D6783" w:rsidRDefault="00DA25CC" w:rsidP="00C312B1">
          <w:pPr>
            <w:pStyle w:val="Intestazione"/>
            <w:spacing w:before="120"/>
            <w:ind w:left="567"/>
            <w:jc w:val="left"/>
            <w:rPr>
              <w:rFonts w:ascii="Arial Narrow" w:hAnsi="Arial Narrow"/>
              <w:color w:val="FFFFFF" w:themeColor="background1"/>
              <w:sz w:val="24"/>
            </w:rPr>
          </w:pPr>
          <w:r w:rsidRPr="007E48EF">
            <w:rPr>
              <w:rFonts w:ascii="Arial Narrow" w:hAnsi="Arial Narrow"/>
              <w:color w:val="FFFFFF" w:themeColor="background1"/>
              <w:sz w:val="24"/>
            </w:rPr>
            <w:t>L’ECONOMIA NON OSSERVATA NEI CONTI NAZIONALI</w:t>
          </w:r>
        </w:p>
      </w:tc>
      <w:tc>
        <w:tcPr>
          <w:tcW w:w="3016" w:type="dxa"/>
          <w:shd w:val="clear" w:color="auto" w:fill="1F497D" w:themeFill="text2"/>
          <w:vAlign w:val="center"/>
        </w:tcPr>
        <w:p w:rsidR="00DA25CC" w:rsidRPr="00DD6CCE" w:rsidRDefault="00DA25CC" w:rsidP="00C312B1">
          <w:pPr>
            <w:pStyle w:val="Intestazione"/>
            <w:tabs>
              <w:tab w:val="left" w:pos="2160"/>
            </w:tabs>
            <w:ind w:left="284" w:hanging="100"/>
            <w:jc w:val="left"/>
            <w:rPr>
              <w:color w:val="FFFFFF" w:themeColor="background1"/>
            </w:rPr>
          </w:pPr>
          <w:r>
            <w:rPr>
              <w:noProof/>
              <w:color w:val="FFFFFF" w:themeColor="background1"/>
            </w:rPr>
            <w:drawing>
              <wp:anchor distT="0" distB="0" distL="114300" distR="114300" simplePos="0" relativeHeight="251654144" behindDoc="0" locked="0" layoutInCell="1" allowOverlap="1" wp14:anchorId="322FEE6C" wp14:editId="73DA6C1D">
                <wp:simplePos x="0" y="0"/>
                <wp:positionH relativeFrom="column">
                  <wp:posOffset>598805</wp:posOffset>
                </wp:positionH>
                <wp:positionV relativeFrom="paragraph">
                  <wp:posOffset>-1905</wp:posOffset>
                </wp:positionV>
                <wp:extent cx="695325" cy="198120"/>
                <wp:effectExtent l="0" t="0" r="9525" b="0"/>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llWhite-01.png"/>
                        <pic:cNvPicPr/>
                      </pic:nvPicPr>
                      <pic:blipFill>
                        <a:blip r:embed="rId1"/>
                        <a:stretch>
                          <a:fillRect/>
                        </a:stretch>
                      </pic:blipFill>
                      <pic:spPr>
                        <a:xfrm>
                          <a:off x="0" y="0"/>
                          <a:ext cx="695325" cy="198120"/>
                        </a:xfrm>
                        <a:prstGeom prst="rect">
                          <a:avLst/>
                        </a:prstGeom>
                      </pic:spPr>
                    </pic:pic>
                  </a:graphicData>
                </a:graphic>
              </wp:anchor>
            </w:drawing>
          </w:r>
        </w:p>
      </w:tc>
    </w:tr>
  </w:tbl>
  <w:p w:rsidR="00DA25CC" w:rsidRPr="007D0BF5" w:rsidRDefault="00DA25CC" w:rsidP="00B15087">
    <w:pPr>
      <w:pStyle w:val="Intestazione"/>
      <w:tabs>
        <w:tab w:val="clear" w:pos="4819"/>
        <w:tab w:val="clear" w:pos="9638"/>
        <w:tab w:val="left" w:pos="595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8174B"/>
    <w:multiLevelType w:val="hybridMultilevel"/>
    <w:tmpl w:val="DCC87634"/>
    <w:lvl w:ilvl="0" w:tplc="F7D09EB4">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3E017DED"/>
    <w:multiLevelType w:val="hybridMultilevel"/>
    <w:tmpl w:val="C49AEDF0"/>
    <w:lvl w:ilvl="0" w:tplc="D048EDA8">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TENTE">
    <w15:presenceInfo w15:providerId="None" w15:userId="UTEN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4FF"/>
    <w:rsid w:val="00000371"/>
    <w:rsid w:val="00000DE6"/>
    <w:rsid w:val="00001245"/>
    <w:rsid w:val="00001763"/>
    <w:rsid w:val="000020C7"/>
    <w:rsid w:val="00002177"/>
    <w:rsid w:val="0000396F"/>
    <w:rsid w:val="000042EB"/>
    <w:rsid w:val="00006D10"/>
    <w:rsid w:val="00007066"/>
    <w:rsid w:val="000075FC"/>
    <w:rsid w:val="0000784B"/>
    <w:rsid w:val="00007F49"/>
    <w:rsid w:val="00010170"/>
    <w:rsid w:val="00011037"/>
    <w:rsid w:val="000119F3"/>
    <w:rsid w:val="0001235E"/>
    <w:rsid w:val="00014F90"/>
    <w:rsid w:val="0001544F"/>
    <w:rsid w:val="00016F4D"/>
    <w:rsid w:val="000172AE"/>
    <w:rsid w:val="0001738B"/>
    <w:rsid w:val="00020C34"/>
    <w:rsid w:val="00022348"/>
    <w:rsid w:val="00023B4F"/>
    <w:rsid w:val="0002428F"/>
    <w:rsid w:val="0002505D"/>
    <w:rsid w:val="000303C5"/>
    <w:rsid w:val="00030D17"/>
    <w:rsid w:val="00031115"/>
    <w:rsid w:val="000314E2"/>
    <w:rsid w:val="0003264F"/>
    <w:rsid w:val="0003298F"/>
    <w:rsid w:val="00033F2B"/>
    <w:rsid w:val="000343A2"/>
    <w:rsid w:val="000350B8"/>
    <w:rsid w:val="00035516"/>
    <w:rsid w:val="00036154"/>
    <w:rsid w:val="0004131D"/>
    <w:rsid w:val="00041DC5"/>
    <w:rsid w:val="000425AA"/>
    <w:rsid w:val="000426E7"/>
    <w:rsid w:val="00043696"/>
    <w:rsid w:val="000444BF"/>
    <w:rsid w:val="00044BA7"/>
    <w:rsid w:val="0004526F"/>
    <w:rsid w:val="00045472"/>
    <w:rsid w:val="000463B5"/>
    <w:rsid w:val="00046672"/>
    <w:rsid w:val="000467F2"/>
    <w:rsid w:val="00046CB1"/>
    <w:rsid w:val="00047479"/>
    <w:rsid w:val="0004769F"/>
    <w:rsid w:val="000476DC"/>
    <w:rsid w:val="00047A1F"/>
    <w:rsid w:val="00047A73"/>
    <w:rsid w:val="00050328"/>
    <w:rsid w:val="000505FA"/>
    <w:rsid w:val="000507CF"/>
    <w:rsid w:val="0005356B"/>
    <w:rsid w:val="000541C4"/>
    <w:rsid w:val="000541EC"/>
    <w:rsid w:val="0005451A"/>
    <w:rsid w:val="00057EFB"/>
    <w:rsid w:val="00062A73"/>
    <w:rsid w:val="00063871"/>
    <w:rsid w:val="00064102"/>
    <w:rsid w:val="000665DC"/>
    <w:rsid w:val="00066F5C"/>
    <w:rsid w:val="000679B2"/>
    <w:rsid w:val="0007093C"/>
    <w:rsid w:val="00070FF7"/>
    <w:rsid w:val="000717CD"/>
    <w:rsid w:val="0007183B"/>
    <w:rsid w:val="000718B8"/>
    <w:rsid w:val="00071F99"/>
    <w:rsid w:val="00072EE8"/>
    <w:rsid w:val="0007346F"/>
    <w:rsid w:val="0007364E"/>
    <w:rsid w:val="000737C5"/>
    <w:rsid w:val="00075049"/>
    <w:rsid w:val="00076487"/>
    <w:rsid w:val="00076B04"/>
    <w:rsid w:val="00077332"/>
    <w:rsid w:val="00077697"/>
    <w:rsid w:val="00080193"/>
    <w:rsid w:val="00081681"/>
    <w:rsid w:val="000824CF"/>
    <w:rsid w:val="00082F25"/>
    <w:rsid w:val="00082F91"/>
    <w:rsid w:val="00083EA8"/>
    <w:rsid w:val="0008427D"/>
    <w:rsid w:val="000843B1"/>
    <w:rsid w:val="0008573D"/>
    <w:rsid w:val="00085D39"/>
    <w:rsid w:val="000860AB"/>
    <w:rsid w:val="0008701E"/>
    <w:rsid w:val="00087F2B"/>
    <w:rsid w:val="000940FB"/>
    <w:rsid w:val="0009474B"/>
    <w:rsid w:val="00094DFA"/>
    <w:rsid w:val="0009519B"/>
    <w:rsid w:val="00095707"/>
    <w:rsid w:val="00096098"/>
    <w:rsid w:val="000A0304"/>
    <w:rsid w:val="000A0440"/>
    <w:rsid w:val="000A1A44"/>
    <w:rsid w:val="000A1F4B"/>
    <w:rsid w:val="000A2B36"/>
    <w:rsid w:val="000A2CE3"/>
    <w:rsid w:val="000A35DD"/>
    <w:rsid w:val="000A3DA6"/>
    <w:rsid w:val="000A4F3E"/>
    <w:rsid w:val="000A5962"/>
    <w:rsid w:val="000B0188"/>
    <w:rsid w:val="000B2771"/>
    <w:rsid w:val="000B33BB"/>
    <w:rsid w:val="000B4257"/>
    <w:rsid w:val="000B462E"/>
    <w:rsid w:val="000B4826"/>
    <w:rsid w:val="000B54EA"/>
    <w:rsid w:val="000B5CF0"/>
    <w:rsid w:val="000B5F30"/>
    <w:rsid w:val="000B5F37"/>
    <w:rsid w:val="000B6060"/>
    <w:rsid w:val="000B68CB"/>
    <w:rsid w:val="000B6E6E"/>
    <w:rsid w:val="000B78AF"/>
    <w:rsid w:val="000C0E96"/>
    <w:rsid w:val="000C23C8"/>
    <w:rsid w:val="000C24A9"/>
    <w:rsid w:val="000C2AF7"/>
    <w:rsid w:val="000C3ACA"/>
    <w:rsid w:val="000C5D39"/>
    <w:rsid w:val="000C5D95"/>
    <w:rsid w:val="000C5DC0"/>
    <w:rsid w:val="000C672D"/>
    <w:rsid w:val="000C683D"/>
    <w:rsid w:val="000C6D3F"/>
    <w:rsid w:val="000C6FD6"/>
    <w:rsid w:val="000C7AF6"/>
    <w:rsid w:val="000C7E7F"/>
    <w:rsid w:val="000D01FA"/>
    <w:rsid w:val="000D1FF1"/>
    <w:rsid w:val="000D20C3"/>
    <w:rsid w:val="000D214A"/>
    <w:rsid w:val="000D31ED"/>
    <w:rsid w:val="000D3343"/>
    <w:rsid w:val="000D3BE3"/>
    <w:rsid w:val="000D4700"/>
    <w:rsid w:val="000D49B6"/>
    <w:rsid w:val="000D5A8E"/>
    <w:rsid w:val="000D5E76"/>
    <w:rsid w:val="000D61A6"/>
    <w:rsid w:val="000D758D"/>
    <w:rsid w:val="000E01E0"/>
    <w:rsid w:val="000E0F08"/>
    <w:rsid w:val="000E109F"/>
    <w:rsid w:val="000E2017"/>
    <w:rsid w:val="000E2097"/>
    <w:rsid w:val="000E28C7"/>
    <w:rsid w:val="000E2C69"/>
    <w:rsid w:val="000E3177"/>
    <w:rsid w:val="000E348B"/>
    <w:rsid w:val="000E4C5D"/>
    <w:rsid w:val="000F080C"/>
    <w:rsid w:val="000F0DE8"/>
    <w:rsid w:val="000F2103"/>
    <w:rsid w:val="000F2B5A"/>
    <w:rsid w:val="000F30A8"/>
    <w:rsid w:val="000F3EE9"/>
    <w:rsid w:val="000F440B"/>
    <w:rsid w:val="000F4B60"/>
    <w:rsid w:val="000F56AC"/>
    <w:rsid w:val="000F56B4"/>
    <w:rsid w:val="000F5E14"/>
    <w:rsid w:val="000F5F7E"/>
    <w:rsid w:val="000F61BC"/>
    <w:rsid w:val="000F6BD7"/>
    <w:rsid w:val="000F6D28"/>
    <w:rsid w:val="000F73C6"/>
    <w:rsid w:val="000F7425"/>
    <w:rsid w:val="00101A70"/>
    <w:rsid w:val="00101EBD"/>
    <w:rsid w:val="00102064"/>
    <w:rsid w:val="00102103"/>
    <w:rsid w:val="00102185"/>
    <w:rsid w:val="00102284"/>
    <w:rsid w:val="001035E3"/>
    <w:rsid w:val="001038B2"/>
    <w:rsid w:val="001042B2"/>
    <w:rsid w:val="00104474"/>
    <w:rsid w:val="001046A8"/>
    <w:rsid w:val="00104E17"/>
    <w:rsid w:val="001051FB"/>
    <w:rsid w:val="00105931"/>
    <w:rsid w:val="001059FA"/>
    <w:rsid w:val="00111126"/>
    <w:rsid w:val="00111A23"/>
    <w:rsid w:val="00111DB1"/>
    <w:rsid w:val="00112B06"/>
    <w:rsid w:val="00112D4E"/>
    <w:rsid w:val="00112DB1"/>
    <w:rsid w:val="00113587"/>
    <w:rsid w:val="00117578"/>
    <w:rsid w:val="001178D5"/>
    <w:rsid w:val="00117C9A"/>
    <w:rsid w:val="00117FE2"/>
    <w:rsid w:val="0012282C"/>
    <w:rsid w:val="00123033"/>
    <w:rsid w:val="0012394C"/>
    <w:rsid w:val="00123E17"/>
    <w:rsid w:val="00124010"/>
    <w:rsid w:val="001266B6"/>
    <w:rsid w:val="00127682"/>
    <w:rsid w:val="00127A7C"/>
    <w:rsid w:val="00131166"/>
    <w:rsid w:val="00131B50"/>
    <w:rsid w:val="00133310"/>
    <w:rsid w:val="001349F8"/>
    <w:rsid w:val="001350C3"/>
    <w:rsid w:val="00135378"/>
    <w:rsid w:val="00135B50"/>
    <w:rsid w:val="00136280"/>
    <w:rsid w:val="001365DB"/>
    <w:rsid w:val="001365F6"/>
    <w:rsid w:val="00136A09"/>
    <w:rsid w:val="00137C1A"/>
    <w:rsid w:val="00141AAF"/>
    <w:rsid w:val="0014327D"/>
    <w:rsid w:val="0014340B"/>
    <w:rsid w:val="001471E6"/>
    <w:rsid w:val="001512E9"/>
    <w:rsid w:val="001517D8"/>
    <w:rsid w:val="001523E8"/>
    <w:rsid w:val="00152C53"/>
    <w:rsid w:val="00153311"/>
    <w:rsid w:val="00154931"/>
    <w:rsid w:val="00156801"/>
    <w:rsid w:val="00156870"/>
    <w:rsid w:val="001569C5"/>
    <w:rsid w:val="00157219"/>
    <w:rsid w:val="00157F5E"/>
    <w:rsid w:val="00161868"/>
    <w:rsid w:val="00161A02"/>
    <w:rsid w:val="0016359C"/>
    <w:rsid w:val="00163CE2"/>
    <w:rsid w:val="00165F0B"/>
    <w:rsid w:val="001661BE"/>
    <w:rsid w:val="001663CB"/>
    <w:rsid w:val="00167170"/>
    <w:rsid w:val="00171303"/>
    <w:rsid w:val="00171583"/>
    <w:rsid w:val="00171977"/>
    <w:rsid w:val="00173008"/>
    <w:rsid w:val="00174FE1"/>
    <w:rsid w:val="001754E7"/>
    <w:rsid w:val="00176D20"/>
    <w:rsid w:val="0018019C"/>
    <w:rsid w:val="00180E98"/>
    <w:rsid w:val="00181074"/>
    <w:rsid w:val="00181263"/>
    <w:rsid w:val="001815CC"/>
    <w:rsid w:val="00181C60"/>
    <w:rsid w:val="001826FE"/>
    <w:rsid w:val="00182894"/>
    <w:rsid w:val="00187341"/>
    <w:rsid w:val="00190006"/>
    <w:rsid w:val="00190158"/>
    <w:rsid w:val="00191477"/>
    <w:rsid w:val="001917F1"/>
    <w:rsid w:val="00191EA1"/>
    <w:rsid w:val="00193A8D"/>
    <w:rsid w:val="00194F41"/>
    <w:rsid w:val="00195299"/>
    <w:rsid w:val="00195481"/>
    <w:rsid w:val="001958B2"/>
    <w:rsid w:val="0019616E"/>
    <w:rsid w:val="0019745C"/>
    <w:rsid w:val="00197D76"/>
    <w:rsid w:val="001A0217"/>
    <w:rsid w:val="001A10C1"/>
    <w:rsid w:val="001A1346"/>
    <w:rsid w:val="001A29C8"/>
    <w:rsid w:val="001A4C6D"/>
    <w:rsid w:val="001A611B"/>
    <w:rsid w:val="001A62B0"/>
    <w:rsid w:val="001A62B5"/>
    <w:rsid w:val="001A7CAF"/>
    <w:rsid w:val="001A7F1A"/>
    <w:rsid w:val="001B1024"/>
    <w:rsid w:val="001B4150"/>
    <w:rsid w:val="001B41C2"/>
    <w:rsid w:val="001B4D79"/>
    <w:rsid w:val="001B64E1"/>
    <w:rsid w:val="001B743D"/>
    <w:rsid w:val="001B745D"/>
    <w:rsid w:val="001C0092"/>
    <w:rsid w:val="001C0BF3"/>
    <w:rsid w:val="001C0C88"/>
    <w:rsid w:val="001C2158"/>
    <w:rsid w:val="001C333E"/>
    <w:rsid w:val="001C3445"/>
    <w:rsid w:val="001C3E12"/>
    <w:rsid w:val="001C52BD"/>
    <w:rsid w:val="001C6222"/>
    <w:rsid w:val="001C635F"/>
    <w:rsid w:val="001C6D75"/>
    <w:rsid w:val="001C77B0"/>
    <w:rsid w:val="001D0137"/>
    <w:rsid w:val="001D0EB7"/>
    <w:rsid w:val="001D3DA7"/>
    <w:rsid w:val="001D475E"/>
    <w:rsid w:val="001D5186"/>
    <w:rsid w:val="001D5280"/>
    <w:rsid w:val="001D5578"/>
    <w:rsid w:val="001D6301"/>
    <w:rsid w:val="001D64EE"/>
    <w:rsid w:val="001D6BC4"/>
    <w:rsid w:val="001D6FBA"/>
    <w:rsid w:val="001D7102"/>
    <w:rsid w:val="001D75A9"/>
    <w:rsid w:val="001D7A31"/>
    <w:rsid w:val="001D7A7B"/>
    <w:rsid w:val="001D7ED4"/>
    <w:rsid w:val="001E1BA2"/>
    <w:rsid w:val="001E42F3"/>
    <w:rsid w:val="001E6D2C"/>
    <w:rsid w:val="001F1697"/>
    <w:rsid w:val="001F2DCA"/>
    <w:rsid w:val="001F486C"/>
    <w:rsid w:val="001F576B"/>
    <w:rsid w:val="001F58C7"/>
    <w:rsid w:val="001F5D7B"/>
    <w:rsid w:val="001F609C"/>
    <w:rsid w:val="001F61BA"/>
    <w:rsid w:val="001F6677"/>
    <w:rsid w:val="001F7813"/>
    <w:rsid w:val="002000AC"/>
    <w:rsid w:val="0020087D"/>
    <w:rsid w:val="00201062"/>
    <w:rsid w:val="00202C51"/>
    <w:rsid w:val="00202E62"/>
    <w:rsid w:val="002031C8"/>
    <w:rsid w:val="00203F9E"/>
    <w:rsid w:val="0020556C"/>
    <w:rsid w:val="002056F7"/>
    <w:rsid w:val="00205800"/>
    <w:rsid w:val="00205ADF"/>
    <w:rsid w:val="00205D0A"/>
    <w:rsid w:val="00206DEE"/>
    <w:rsid w:val="002072B2"/>
    <w:rsid w:val="002103AB"/>
    <w:rsid w:val="002103C3"/>
    <w:rsid w:val="00210DA8"/>
    <w:rsid w:val="00210DE0"/>
    <w:rsid w:val="0021197E"/>
    <w:rsid w:val="00211D66"/>
    <w:rsid w:val="00212529"/>
    <w:rsid w:val="0021285C"/>
    <w:rsid w:val="002137BA"/>
    <w:rsid w:val="00214722"/>
    <w:rsid w:val="00214B49"/>
    <w:rsid w:val="00215FD0"/>
    <w:rsid w:val="00220D5E"/>
    <w:rsid w:val="00221079"/>
    <w:rsid w:val="002222D4"/>
    <w:rsid w:val="00222966"/>
    <w:rsid w:val="00224936"/>
    <w:rsid w:val="00225942"/>
    <w:rsid w:val="00225A82"/>
    <w:rsid w:val="00225B32"/>
    <w:rsid w:val="00226116"/>
    <w:rsid w:val="002268E7"/>
    <w:rsid w:val="00226C04"/>
    <w:rsid w:val="00230239"/>
    <w:rsid w:val="00230982"/>
    <w:rsid w:val="00230AF5"/>
    <w:rsid w:val="00230B69"/>
    <w:rsid w:val="002323B9"/>
    <w:rsid w:val="002330DF"/>
    <w:rsid w:val="002402C9"/>
    <w:rsid w:val="00240909"/>
    <w:rsid w:val="00240F46"/>
    <w:rsid w:val="00243F15"/>
    <w:rsid w:val="00244329"/>
    <w:rsid w:val="00246065"/>
    <w:rsid w:val="0024697E"/>
    <w:rsid w:val="0024708F"/>
    <w:rsid w:val="00250448"/>
    <w:rsid w:val="00250A8D"/>
    <w:rsid w:val="00251CA6"/>
    <w:rsid w:val="002521EC"/>
    <w:rsid w:val="0025287B"/>
    <w:rsid w:val="002533A7"/>
    <w:rsid w:val="002542DD"/>
    <w:rsid w:val="00254523"/>
    <w:rsid w:val="0025456B"/>
    <w:rsid w:val="00254851"/>
    <w:rsid w:val="00255A74"/>
    <w:rsid w:val="00255D3D"/>
    <w:rsid w:val="002568ED"/>
    <w:rsid w:val="002573E5"/>
    <w:rsid w:val="002604A1"/>
    <w:rsid w:val="002617CA"/>
    <w:rsid w:val="002617E8"/>
    <w:rsid w:val="00261BED"/>
    <w:rsid w:val="00261E46"/>
    <w:rsid w:val="0026334D"/>
    <w:rsid w:val="00263991"/>
    <w:rsid w:val="00264BF7"/>
    <w:rsid w:val="00264DC5"/>
    <w:rsid w:val="002653C8"/>
    <w:rsid w:val="002655FE"/>
    <w:rsid w:val="002665A8"/>
    <w:rsid w:val="00266C71"/>
    <w:rsid w:val="0026724E"/>
    <w:rsid w:val="002674BB"/>
    <w:rsid w:val="00267D69"/>
    <w:rsid w:val="002700BA"/>
    <w:rsid w:val="00270E8B"/>
    <w:rsid w:val="00271B23"/>
    <w:rsid w:val="0027204B"/>
    <w:rsid w:val="002722DA"/>
    <w:rsid w:val="00272675"/>
    <w:rsid w:val="0027327E"/>
    <w:rsid w:val="002734A4"/>
    <w:rsid w:val="00273608"/>
    <w:rsid w:val="00273A74"/>
    <w:rsid w:val="00274C09"/>
    <w:rsid w:val="002756D5"/>
    <w:rsid w:val="00275E9E"/>
    <w:rsid w:val="00275F5F"/>
    <w:rsid w:val="00277EAA"/>
    <w:rsid w:val="0028087D"/>
    <w:rsid w:val="00280C4D"/>
    <w:rsid w:val="00280FE9"/>
    <w:rsid w:val="002822D3"/>
    <w:rsid w:val="0028289B"/>
    <w:rsid w:val="00282971"/>
    <w:rsid w:val="00285170"/>
    <w:rsid w:val="0028627A"/>
    <w:rsid w:val="00286634"/>
    <w:rsid w:val="002877B7"/>
    <w:rsid w:val="00287928"/>
    <w:rsid w:val="00291A83"/>
    <w:rsid w:val="00291BC0"/>
    <w:rsid w:val="002940AA"/>
    <w:rsid w:val="002940B7"/>
    <w:rsid w:val="00294DC2"/>
    <w:rsid w:val="00295F01"/>
    <w:rsid w:val="00296309"/>
    <w:rsid w:val="002A07C4"/>
    <w:rsid w:val="002A0D85"/>
    <w:rsid w:val="002A18E8"/>
    <w:rsid w:val="002A1EED"/>
    <w:rsid w:val="002A2D78"/>
    <w:rsid w:val="002A2EA8"/>
    <w:rsid w:val="002A4BA6"/>
    <w:rsid w:val="002A5097"/>
    <w:rsid w:val="002A5447"/>
    <w:rsid w:val="002A5F61"/>
    <w:rsid w:val="002A6126"/>
    <w:rsid w:val="002A6BD1"/>
    <w:rsid w:val="002B4A54"/>
    <w:rsid w:val="002C08AB"/>
    <w:rsid w:val="002C0B57"/>
    <w:rsid w:val="002C1AD7"/>
    <w:rsid w:val="002C24B2"/>
    <w:rsid w:val="002C4572"/>
    <w:rsid w:val="002C6EE8"/>
    <w:rsid w:val="002C79A8"/>
    <w:rsid w:val="002C7B51"/>
    <w:rsid w:val="002D1385"/>
    <w:rsid w:val="002D18E7"/>
    <w:rsid w:val="002D1983"/>
    <w:rsid w:val="002D2882"/>
    <w:rsid w:val="002D2A78"/>
    <w:rsid w:val="002D3C11"/>
    <w:rsid w:val="002D5AFB"/>
    <w:rsid w:val="002D5ECA"/>
    <w:rsid w:val="002D6C8C"/>
    <w:rsid w:val="002D72B5"/>
    <w:rsid w:val="002D7EAD"/>
    <w:rsid w:val="002E0444"/>
    <w:rsid w:val="002E11AD"/>
    <w:rsid w:val="002E2D2D"/>
    <w:rsid w:val="002E33E4"/>
    <w:rsid w:val="002E47FC"/>
    <w:rsid w:val="002E5123"/>
    <w:rsid w:val="002E5718"/>
    <w:rsid w:val="002E7582"/>
    <w:rsid w:val="002F00AA"/>
    <w:rsid w:val="002F0454"/>
    <w:rsid w:val="002F10BE"/>
    <w:rsid w:val="002F21DF"/>
    <w:rsid w:val="002F43FC"/>
    <w:rsid w:val="002F65BF"/>
    <w:rsid w:val="002F78F5"/>
    <w:rsid w:val="00300653"/>
    <w:rsid w:val="00300A13"/>
    <w:rsid w:val="003032B0"/>
    <w:rsid w:val="00304C63"/>
    <w:rsid w:val="00305A32"/>
    <w:rsid w:val="0030749A"/>
    <w:rsid w:val="0030756B"/>
    <w:rsid w:val="003105F9"/>
    <w:rsid w:val="0031188E"/>
    <w:rsid w:val="00311F7E"/>
    <w:rsid w:val="003122DE"/>
    <w:rsid w:val="003138E9"/>
    <w:rsid w:val="00313F7B"/>
    <w:rsid w:val="00314C3F"/>
    <w:rsid w:val="003152CD"/>
    <w:rsid w:val="003158F5"/>
    <w:rsid w:val="00315A68"/>
    <w:rsid w:val="00315B9D"/>
    <w:rsid w:val="00315C0A"/>
    <w:rsid w:val="0031685A"/>
    <w:rsid w:val="003172DF"/>
    <w:rsid w:val="00317B3E"/>
    <w:rsid w:val="003215E2"/>
    <w:rsid w:val="00322B7E"/>
    <w:rsid w:val="0032369B"/>
    <w:rsid w:val="00323E06"/>
    <w:rsid w:val="003243EA"/>
    <w:rsid w:val="003247E0"/>
    <w:rsid w:val="00327940"/>
    <w:rsid w:val="00330AEC"/>
    <w:rsid w:val="00331A24"/>
    <w:rsid w:val="00332547"/>
    <w:rsid w:val="003342E0"/>
    <w:rsid w:val="00334605"/>
    <w:rsid w:val="00334AF5"/>
    <w:rsid w:val="00334BE0"/>
    <w:rsid w:val="003363F4"/>
    <w:rsid w:val="003373DE"/>
    <w:rsid w:val="003379EA"/>
    <w:rsid w:val="00340275"/>
    <w:rsid w:val="003406B4"/>
    <w:rsid w:val="00340A11"/>
    <w:rsid w:val="00340EC1"/>
    <w:rsid w:val="00341069"/>
    <w:rsid w:val="00342438"/>
    <w:rsid w:val="00343312"/>
    <w:rsid w:val="00343EFB"/>
    <w:rsid w:val="0034404A"/>
    <w:rsid w:val="0034411C"/>
    <w:rsid w:val="003448E7"/>
    <w:rsid w:val="003463DA"/>
    <w:rsid w:val="003468CB"/>
    <w:rsid w:val="00346ED2"/>
    <w:rsid w:val="003474C0"/>
    <w:rsid w:val="00350415"/>
    <w:rsid w:val="0035093A"/>
    <w:rsid w:val="003510C4"/>
    <w:rsid w:val="00351D51"/>
    <w:rsid w:val="00353382"/>
    <w:rsid w:val="00353F2A"/>
    <w:rsid w:val="003558F7"/>
    <w:rsid w:val="00356C2F"/>
    <w:rsid w:val="00356C84"/>
    <w:rsid w:val="00356FFD"/>
    <w:rsid w:val="003600B1"/>
    <w:rsid w:val="00360674"/>
    <w:rsid w:val="003617DE"/>
    <w:rsid w:val="003619BF"/>
    <w:rsid w:val="00362716"/>
    <w:rsid w:val="003629F7"/>
    <w:rsid w:val="00363685"/>
    <w:rsid w:val="00363B41"/>
    <w:rsid w:val="00364030"/>
    <w:rsid w:val="0036488D"/>
    <w:rsid w:val="00365AA3"/>
    <w:rsid w:val="00365D0A"/>
    <w:rsid w:val="0036618A"/>
    <w:rsid w:val="003669F9"/>
    <w:rsid w:val="00366EDD"/>
    <w:rsid w:val="00366EEA"/>
    <w:rsid w:val="0036799C"/>
    <w:rsid w:val="00367A0C"/>
    <w:rsid w:val="003705AB"/>
    <w:rsid w:val="0037067D"/>
    <w:rsid w:val="00370FD4"/>
    <w:rsid w:val="00372D41"/>
    <w:rsid w:val="00373868"/>
    <w:rsid w:val="003749DE"/>
    <w:rsid w:val="00375770"/>
    <w:rsid w:val="00376040"/>
    <w:rsid w:val="00376C25"/>
    <w:rsid w:val="00377640"/>
    <w:rsid w:val="00381013"/>
    <w:rsid w:val="00381463"/>
    <w:rsid w:val="00381A59"/>
    <w:rsid w:val="00382A55"/>
    <w:rsid w:val="00383153"/>
    <w:rsid w:val="00383999"/>
    <w:rsid w:val="0038412A"/>
    <w:rsid w:val="00384667"/>
    <w:rsid w:val="00384ABB"/>
    <w:rsid w:val="00384B0B"/>
    <w:rsid w:val="00385126"/>
    <w:rsid w:val="00385F96"/>
    <w:rsid w:val="003868DB"/>
    <w:rsid w:val="00391190"/>
    <w:rsid w:val="003916E5"/>
    <w:rsid w:val="0039197C"/>
    <w:rsid w:val="00391CED"/>
    <w:rsid w:val="00391E06"/>
    <w:rsid w:val="00391F2A"/>
    <w:rsid w:val="00392EA3"/>
    <w:rsid w:val="0039359E"/>
    <w:rsid w:val="0039492B"/>
    <w:rsid w:val="00395195"/>
    <w:rsid w:val="00395E53"/>
    <w:rsid w:val="00396A20"/>
    <w:rsid w:val="00397D8D"/>
    <w:rsid w:val="00397EAE"/>
    <w:rsid w:val="003A06E6"/>
    <w:rsid w:val="003A1257"/>
    <w:rsid w:val="003A154B"/>
    <w:rsid w:val="003A1C4A"/>
    <w:rsid w:val="003A1DE6"/>
    <w:rsid w:val="003A2D6A"/>
    <w:rsid w:val="003A460A"/>
    <w:rsid w:val="003A5196"/>
    <w:rsid w:val="003A71C5"/>
    <w:rsid w:val="003A7331"/>
    <w:rsid w:val="003B3908"/>
    <w:rsid w:val="003B4168"/>
    <w:rsid w:val="003B5DA1"/>
    <w:rsid w:val="003B5E1A"/>
    <w:rsid w:val="003B636D"/>
    <w:rsid w:val="003B6B0E"/>
    <w:rsid w:val="003B6D15"/>
    <w:rsid w:val="003B6E67"/>
    <w:rsid w:val="003B78D6"/>
    <w:rsid w:val="003C00C6"/>
    <w:rsid w:val="003C03E9"/>
    <w:rsid w:val="003C0B2F"/>
    <w:rsid w:val="003C1656"/>
    <w:rsid w:val="003C1F9F"/>
    <w:rsid w:val="003C331C"/>
    <w:rsid w:val="003C4213"/>
    <w:rsid w:val="003C45F2"/>
    <w:rsid w:val="003C6140"/>
    <w:rsid w:val="003C6562"/>
    <w:rsid w:val="003C6680"/>
    <w:rsid w:val="003C6BB6"/>
    <w:rsid w:val="003C6E2F"/>
    <w:rsid w:val="003C74F3"/>
    <w:rsid w:val="003C792E"/>
    <w:rsid w:val="003D0B5C"/>
    <w:rsid w:val="003D10B4"/>
    <w:rsid w:val="003D4B09"/>
    <w:rsid w:val="003D5353"/>
    <w:rsid w:val="003D5A13"/>
    <w:rsid w:val="003D678C"/>
    <w:rsid w:val="003D6A81"/>
    <w:rsid w:val="003D72B6"/>
    <w:rsid w:val="003E19C3"/>
    <w:rsid w:val="003E1FE4"/>
    <w:rsid w:val="003E382C"/>
    <w:rsid w:val="003E458F"/>
    <w:rsid w:val="003E637D"/>
    <w:rsid w:val="003F1181"/>
    <w:rsid w:val="003F20FF"/>
    <w:rsid w:val="003F28F3"/>
    <w:rsid w:val="003F30C3"/>
    <w:rsid w:val="003F43F8"/>
    <w:rsid w:val="003F5A7E"/>
    <w:rsid w:val="003F635C"/>
    <w:rsid w:val="003F65F1"/>
    <w:rsid w:val="003F65F8"/>
    <w:rsid w:val="003F6617"/>
    <w:rsid w:val="003F7B71"/>
    <w:rsid w:val="004002AF"/>
    <w:rsid w:val="004009A3"/>
    <w:rsid w:val="0040125C"/>
    <w:rsid w:val="00402A07"/>
    <w:rsid w:val="004037E8"/>
    <w:rsid w:val="0040426C"/>
    <w:rsid w:val="00404CA4"/>
    <w:rsid w:val="00405D71"/>
    <w:rsid w:val="00406A4D"/>
    <w:rsid w:val="00407053"/>
    <w:rsid w:val="004071AD"/>
    <w:rsid w:val="00407C3F"/>
    <w:rsid w:val="00407DEA"/>
    <w:rsid w:val="00410321"/>
    <w:rsid w:val="004107FB"/>
    <w:rsid w:val="00414778"/>
    <w:rsid w:val="00414F8A"/>
    <w:rsid w:val="00415950"/>
    <w:rsid w:val="004159AF"/>
    <w:rsid w:val="004160A0"/>
    <w:rsid w:val="00416B4D"/>
    <w:rsid w:val="00417D17"/>
    <w:rsid w:val="00420036"/>
    <w:rsid w:val="004201A8"/>
    <w:rsid w:val="00420DC7"/>
    <w:rsid w:val="00421BBB"/>
    <w:rsid w:val="00421F08"/>
    <w:rsid w:val="0042246F"/>
    <w:rsid w:val="00423989"/>
    <w:rsid w:val="00424072"/>
    <w:rsid w:val="0042497B"/>
    <w:rsid w:val="00424B45"/>
    <w:rsid w:val="00424CB9"/>
    <w:rsid w:val="0042529E"/>
    <w:rsid w:val="004252F4"/>
    <w:rsid w:val="0042561D"/>
    <w:rsid w:val="0042762B"/>
    <w:rsid w:val="004300FF"/>
    <w:rsid w:val="004309DA"/>
    <w:rsid w:val="004310F8"/>
    <w:rsid w:val="00431A2A"/>
    <w:rsid w:val="00433AE7"/>
    <w:rsid w:val="00433E22"/>
    <w:rsid w:val="00434505"/>
    <w:rsid w:val="004358AB"/>
    <w:rsid w:val="00436186"/>
    <w:rsid w:val="00437554"/>
    <w:rsid w:val="0043767A"/>
    <w:rsid w:val="00437806"/>
    <w:rsid w:val="0044076A"/>
    <w:rsid w:val="004407DC"/>
    <w:rsid w:val="00440A6A"/>
    <w:rsid w:val="00440F7C"/>
    <w:rsid w:val="0044115C"/>
    <w:rsid w:val="0044170B"/>
    <w:rsid w:val="004431DD"/>
    <w:rsid w:val="00445DAA"/>
    <w:rsid w:val="004460A6"/>
    <w:rsid w:val="004466D1"/>
    <w:rsid w:val="00447C72"/>
    <w:rsid w:val="00450209"/>
    <w:rsid w:val="00450258"/>
    <w:rsid w:val="004517DC"/>
    <w:rsid w:val="004520DD"/>
    <w:rsid w:val="004528BC"/>
    <w:rsid w:val="00452B04"/>
    <w:rsid w:val="00452C22"/>
    <w:rsid w:val="00453B63"/>
    <w:rsid w:val="00454501"/>
    <w:rsid w:val="00460328"/>
    <w:rsid w:val="00461DA5"/>
    <w:rsid w:val="00462036"/>
    <w:rsid w:val="00462387"/>
    <w:rsid w:val="004633E9"/>
    <w:rsid w:val="004633F7"/>
    <w:rsid w:val="00463467"/>
    <w:rsid w:val="0046402A"/>
    <w:rsid w:val="004646A1"/>
    <w:rsid w:val="00464FAB"/>
    <w:rsid w:val="0046539E"/>
    <w:rsid w:val="00466259"/>
    <w:rsid w:val="004668AB"/>
    <w:rsid w:val="00466C3A"/>
    <w:rsid w:val="004712B9"/>
    <w:rsid w:val="0047291C"/>
    <w:rsid w:val="00473605"/>
    <w:rsid w:val="004746EF"/>
    <w:rsid w:val="0047471D"/>
    <w:rsid w:val="00474882"/>
    <w:rsid w:val="00475309"/>
    <w:rsid w:val="00475AE6"/>
    <w:rsid w:val="00475D73"/>
    <w:rsid w:val="00476107"/>
    <w:rsid w:val="00476E7D"/>
    <w:rsid w:val="0047746A"/>
    <w:rsid w:val="004819F7"/>
    <w:rsid w:val="00482990"/>
    <w:rsid w:val="00483301"/>
    <w:rsid w:val="00483817"/>
    <w:rsid w:val="00484475"/>
    <w:rsid w:val="00484846"/>
    <w:rsid w:val="00484FD0"/>
    <w:rsid w:val="0048614C"/>
    <w:rsid w:val="0048670F"/>
    <w:rsid w:val="00486C02"/>
    <w:rsid w:val="004875BE"/>
    <w:rsid w:val="0048761E"/>
    <w:rsid w:val="00487FAD"/>
    <w:rsid w:val="00490282"/>
    <w:rsid w:val="00490A81"/>
    <w:rsid w:val="00490C49"/>
    <w:rsid w:val="00490E77"/>
    <w:rsid w:val="00491348"/>
    <w:rsid w:val="00491389"/>
    <w:rsid w:val="004913C7"/>
    <w:rsid w:val="00491942"/>
    <w:rsid w:val="0049256C"/>
    <w:rsid w:val="004926B4"/>
    <w:rsid w:val="00492BCA"/>
    <w:rsid w:val="00492F4E"/>
    <w:rsid w:val="00493137"/>
    <w:rsid w:val="00493668"/>
    <w:rsid w:val="0049424F"/>
    <w:rsid w:val="00497063"/>
    <w:rsid w:val="00497B7F"/>
    <w:rsid w:val="004A01F0"/>
    <w:rsid w:val="004A1760"/>
    <w:rsid w:val="004A3256"/>
    <w:rsid w:val="004A42D3"/>
    <w:rsid w:val="004A68C3"/>
    <w:rsid w:val="004A7607"/>
    <w:rsid w:val="004A78D8"/>
    <w:rsid w:val="004B1382"/>
    <w:rsid w:val="004B294E"/>
    <w:rsid w:val="004B34C7"/>
    <w:rsid w:val="004B48BE"/>
    <w:rsid w:val="004B49F3"/>
    <w:rsid w:val="004B69E8"/>
    <w:rsid w:val="004B6ACB"/>
    <w:rsid w:val="004B6AEC"/>
    <w:rsid w:val="004B718A"/>
    <w:rsid w:val="004B743E"/>
    <w:rsid w:val="004B77D3"/>
    <w:rsid w:val="004B781A"/>
    <w:rsid w:val="004C16F4"/>
    <w:rsid w:val="004C553A"/>
    <w:rsid w:val="004C56C4"/>
    <w:rsid w:val="004C726D"/>
    <w:rsid w:val="004D00FE"/>
    <w:rsid w:val="004D03E5"/>
    <w:rsid w:val="004D2002"/>
    <w:rsid w:val="004D2B01"/>
    <w:rsid w:val="004D3DD3"/>
    <w:rsid w:val="004D57EA"/>
    <w:rsid w:val="004D6B65"/>
    <w:rsid w:val="004D7FE0"/>
    <w:rsid w:val="004E086A"/>
    <w:rsid w:val="004E2410"/>
    <w:rsid w:val="004E3652"/>
    <w:rsid w:val="004E5585"/>
    <w:rsid w:val="004E69FF"/>
    <w:rsid w:val="004E754F"/>
    <w:rsid w:val="004F1448"/>
    <w:rsid w:val="004F203D"/>
    <w:rsid w:val="004F25BD"/>
    <w:rsid w:val="004F477D"/>
    <w:rsid w:val="004F49FC"/>
    <w:rsid w:val="004F4D96"/>
    <w:rsid w:val="004F60BC"/>
    <w:rsid w:val="004F728C"/>
    <w:rsid w:val="004F7CE8"/>
    <w:rsid w:val="005003CF"/>
    <w:rsid w:val="00500F7D"/>
    <w:rsid w:val="0050195C"/>
    <w:rsid w:val="00502E67"/>
    <w:rsid w:val="0050424B"/>
    <w:rsid w:val="00504930"/>
    <w:rsid w:val="00505639"/>
    <w:rsid w:val="00506EB6"/>
    <w:rsid w:val="005160A0"/>
    <w:rsid w:val="005169BA"/>
    <w:rsid w:val="0051707A"/>
    <w:rsid w:val="00517186"/>
    <w:rsid w:val="0051720F"/>
    <w:rsid w:val="005205E2"/>
    <w:rsid w:val="0052166B"/>
    <w:rsid w:val="00523E0A"/>
    <w:rsid w:val="005252BC"/>
    <w:rsid w:val="00525356"/>
    <w:rsid w:val="005263CF"/>
    <w:rsid w:val="005272CA"/>
    <w:rsid w:val="00530B85"/>
    <w:rsid w:val="00530D2D"/>
    <w:rsid w:val="005311B1"/>
    <w:rsid w:val="0053147C"/>
    <w:rsid w:val="00532593"/>
    <w:rsid w:val="00532CEB"/>
    <w:rsid w:val="005338E6"/>
    <w:rsid w:val="005338F2"/>
    <w:rsid w:val="005373F7"/>
    <w:rsid w:val="00540184"/>
    <w:rsid w:val="005409AE"/>
    <w:rsid w:val="00542566"/>
    <w:rsid w:val="005425DD"/>
    <w:rsid w:val="005428D7"/>
    <w:rsid w:val="00542A17"/>
    <w:rsid w:val="00543FAB"/>
    <w:rsid w:val="00545631"/>
    <w:rsid w:val="00545AC4"/>
    <w:rsid w:val="00545CD6"/>
    <w:rsid w:val="00546CEB"/>
    <w:rsid w:val="00546EAC"/>
    <w:rsid w:val="00551EE9"/>
    <w:rsid w:val="0055209F"/>
    <w:rsid w:val="00552588"/>
    <w:rsid w:val="00552789"/>
    <w:rsid w:val="00552F83"/>
    <w:rsid w:val="005553A1"/>
    <w:rsid w:val="0055625D"/>
    <w:rsid w:val="005625D7"/>
    <w:rsid w:val="00562973"/>
    <w:rsid w:val="00563604"/>
    <w:rsid w:val="0056389B"/>
    <w:rsid w:val="00563C3D"/>
    <w:rsid w:val="005640F1"/>
    <w:rsid w:val="00564F55"/>
    <w:rsid w:val="0056789E"/>
    <w:rsid w:val="00567F52"/>
    <w:rsid w:val="005702FA"/>
    <w:rsid w:val="005738AE"/>
    <w:rsid w:val="00574B65"/>
    <w:rsid w:val="00576121"/>
    <w:rsid w:val="00577E3D"/>
    <w:rsid w:val="0058002A"/>
    <w:rsid w:val="00580FF4"/>
    <w:rsid w:val="005812F1"/>
    <w:rsid w:val="00581762"/>
    <w:rsid w:val="00581A20"/>
    <w:rsid w:val="005836C4"/>
    <w:rsid w:val="00583ABC"/>
    <w:rsid w:val="00584A0E"/>
    <w:rsid w:val="0058702E"/>
    <w:rsid w:val="00587489"/>
    <w:rsid w:val="0059207A"/>
    <w:rsid w:val="00594322"/>
    <w:rsid w:val="00596DA3"/>
    <w:rsid w:val="005972B7"/>
    <w:rsid w:val="005A08EB"/>
    <w:rsid w:val="005A0D49"/>
    <w:rsid w:val="005A0E05"/>
    <w:rsid w:val="005A18C5"/>
    <w:rsid w:val="005A1A75"/>
    <w:rsid w:val="005A1C76"/>
    <w:rsid w:val="005A2AF9"/>
    <w:rsid w:val="005A3044"/>
    <w:rsid w:val="005A38AE"/>
    <w:rsid w:val="005A4ED9"/>
    <w:rsid w:val="005A5415"/>
    <w:rsid w:val="005A6AC4"/>
    <w:rsid w:val="005A738C"/>
    <w:rsid w:val="005B28F8"/>
    <w:rsid w:val="005B4C3B"/>
    <w:rsid w:val="005B6E0B"/>
    <w:rsid w:val="005C0052"/>
    <w:rsid w:val="005C3547"/>
    <w:rsid w:val="005C3828"/>
    <w:rsid w:val="005C4AE1"/>
    <w:rsid w:val="005C51C2"/>
    <w:rsid w:val="005C557A"/>
    <w:rsid w:val="005C573F"/>
    <w:rsid w:val="005C5B84"/>
    <w:rsid w:val="005C673B"/>
    <w:rsid w:val="005C724C"/>
    <w:rsid w:val="005C76E1"/>
    <w:rsid w:val="005C7F3F"/>
    <w:rsid w:val="005D02DA"/>
    <w:rsid w:val="005D2187"/>
    <w:rsid w:val="005D291B"/>
    <w:rsid w:val="005D3F96"/>
    <w:rsid w:val="005D5059"/>
    <w:rsid w:val="005D5E20"/>
    <w:rsid w:val="005D63E7"/>
    <w:rsid w:val="005D6783"/>
    <w:rsid w:val="005D6A70"/>
    <w:rsid w:val="005D750F"/>
    <w:rsid w:val="005E0157"/>
    <w:rsid w:val="005E0395"/>
    <w:rsid w:val="005E0FE0"/>
    <w:rsid w:val="005E1230"/>
    <w:rsid w:val="005E33A2"/>
    <w:rsid w:val="005E3AB5"/>
    <w:rsid w:val="005E3CAD"/>
    <w:rsid w:val="005E4C7E"/>
    <w:rsid w:val="005E4E9A"/>
    <w:rsid w:val="005E5122"/>
    <w:rsid w:val="005E7126"/>
    <w:rsid w:val="005E7157"/>
    <w:rsid w:val="005E7AD8"/>
    <w:rsid w:val="005E7B1C"/>
    <w:rsid w:val="005F007E"/>
    <w:rsid w:val="005F07E1"/>
    <w:rsid w:val="005F1B5E"/>
    <w:rsid w:val="005F259D"/>
    <w:rsid w:val="005F3397"/>
    <w:rsid w:val="005F63E1"/>
    <w:rsid w:val="005F6D04"/>
    <w:rsid w:val="005F7AE7"/>
    <w:rsid w:val="005F7D99"/>
    <w:rsid w:val="00600116"/>
    <w:rsid w:val="00602ED4"/>
    <w:rsid w:val="0060330B"/>
    <w:rsid w:val="006040BF"/>
    <w:rsid w:val="00604D49"/>
    <w:rsid w:val="00604E5A"/>
    <w:rsid w:val="00604F1A"/>
    <w:rsid w:val="0060521F"/>
    <w:rsid w:val="006056FC"/>
    <w:rsid w:val="00606323"/>
    <w:rsid w:val="006066C0"/>
    <w:rsid w:val="00607DD6"/>
    <w:rsid w:val="006109AA"/>
    <w:rsid w:val="00610C4C"/>
    <w:rsid w:val="00611B6C"/>
    <w:rsid w:val="00613886"/>
    <w:rsid w:val="006147C6"/>
    <w:rsid w:val="00614886"/>
    <w:rsid w:val="00614E97"/>
    <w:rsid w:val="006151B0"/>
    <w:rsid w:val="0061545C"/>
    <w:rsid w:val="00615DBB"/>
    <w:rsid w:val="00617D8A"/>
    <w:rsid w:val="00617F1D"/>
    <w:rsid w:val="00620FE8"/>
    <w:rsid w:val="00621363"/>
    <w:rsid w:val="006220F6"/>
    <w:rsid w:val="00622925"/>
    <w:rsid w:val="00622BD9"/>
    <w:rsid w:val="006239EA"/>
    <w:rsid w:val="00624461"/>
    <w:rsid w:val="00625181"/>
    <w:rsid w:val="00626288"/>
    <w:rsid w:val="00627A6C"/>
    <w:rsid w:val="00627D87"/>
    <w:rsid w:val="00630CA2"/>
    <w:rsid w:val="00633097"/>
    <w:rsid w:val="006350E4"/>
    <w:rsid w:val="00640037"/>
    <w:rsid w:val="006409F0"/>
    <w:rsid w:val="00642007"/>
    <w:rsid w:val="00642951"/>
    <w:rsid w:val="00643C4B"/>
    <w:rsid w:val="00643DB9"/>
    <w:rsid w:val="00644048"/>
    <w:rsid w:val="00644292"/>
    <w:rsid w:val="00644524"/>
    <w:rsid w:val="00644BC1"/>
    <w:rsid w:val="0064502D"/>
    <w:rsid w:val="0064661D"/>
    <w:rsid w:val="00646E35"/>
    <w:rsid w:val="00646E5A"/>
    <w:rsid w:val="00650314"/>
    <w:rsid w:val="0065099D"/>
    <w:rsid w:val="00650B43"/>
    <w:rsid w:val="00650DA8"/>
    <w:rsid w:val="00651B1B"/>
    <w:rsid w:val="006529F1"/>
    <w:rsid w:val="00652F23"/>
    <w:rsid w:val="00652F7A"/>
    <w:rsid w:val="0065386F"/>
    <w:rsid w:val="00653938"/>
    <w:rsid w:val="00653A80"/>
    <w:rsid w:val="0065402F"/>
    <w:rsid w:val="00654C27"/>
    <w:rsid w:val="00654EF1"/>
    <w:rsid w:val="00655C0C"/>
    <w:rsid w:val="00655C24"/>
    <w:rsid w:val="00656777"/>
    <w:rsid w:val="00657661"/>
    <w:rsid w:val="0066004B"/>
    <w:rsid w:val="006607C5"/>
    <w:rsid w:val="00661677"/>
    <w:rsid w:val="006618F3"/>
    <w:rsid w:val="00664079"/>
    <w:rsid w:val="006646A8"/>
    <w:rsid w:val="0066507D"/>
    <w:rsid w:val="00665380"/>
    <w:rsid w:val="00665DE0"/>
    <w:rsid w:val="00665F6C"/>
    <w:rsid w:val="0066616A"/>
    <w:rsid w:val="00666728"/>
    <w:rsid w:val="00667115"/>
    <w:rsid w:val="006713A5"/>
    <w:rsid w:val="0067178E"/>
    <w:rsid w:val="0067240A"/>
    <w:rsid w:val="006724EB"/>
    <w:rsid w:val="00673039"/>
    <w:rsid w:val="0067318A"/>
    <w:rsid w:val="00674A47"/>
    <w:rsid w:val="00674D02"/>
    <w:rsid w:val="00675B02"/>
    <w:rsid w:val="00675EAB"/>
    <w:rsid w:val="006776CE"/>
    <w:rsid w:val="00686B7F"/>
    <w:rsid w:val="00687894"/>
    <w:rsid w:val="00690445"/>
    <w:rsid w:val="00690C34"/>
    <w:rsid w:val="00691BE0"/>
    <w:rsid w:val="006928DA"/>
    <w:rsid w:val="0069345C"/>
    <w:rsid w:val="00694392"/>
    <w:rsid w:val="006950AD"/>
    <w:rsid w:val="0069578F"/>
    <w:rsid w:val="00695F6B"/>
    <w:rsid w:val="00697C6D"/>
    <w:rsid w:val="006A036B"/>
    <w:rsid w:val="006A1E66"/>
    <w:rsid w:val="006A2844"/>
    <w:rsid w:val="006A30D9"/>
    <w:rsid w:val="006A3672"/>
    <w:rsid w:val="006A3D5F"/>
    <w:rsid w:val="006A411C"/>
    <w:rsid w:val="006A4BDE"/>
    <w:rsid w:val="006A4D90"/>
    <w:rsid w:val="006A53D2"/>
    <w:rsid w:val="006A70AA"/>
    <w:rsid w:val="006A79BD"/>
    <w:rsid w:val="006A7A93"/>
    <w:rsid w:val="006B0735"/>
    <w:rsid w:val="006B2CA5"/>
    <w:rsid w:val="006B31EB"/>
    <w:rsid w:val="006B49B3"/>
    <w:rsid w:val="006B6346"/>
    <w:rsid w:val="006B6F58"/>
    <w:rsid w:val="006B7069"/>
    <w:rsid w:val="006B7DDA"/>
    <w:rsid w:val="006C003D"/>
    <w:rsid w:val="006C3343"/>
    <w:rsid w:val="006C47E8"/>
    <w:rsid w:val="006C4808"/>
    <w:rsid w:val="006C4C38"/>
    <w:rsid w:val="006C5C86"/>
    <w:rsid w:val="006D07E6"/>
    <w:rsid w:val="006D10ED"/>
    <w:rsid w:val="006D1BC2"/>
    <w:rsid w:val="006D1C37"/>
    <w:rsid w:val="006D3F5F"/>
    <w:rsid w:val="006D4525"/>
    <w:rsid w:val="006D509F"/>
    <w:rsid w:val="006D5651"/>
    <w:rsid w:val="006D5CDC"/>
    <w:rsid w:val="006D6F77"/>
    <w:rsid w:val="006D7005"/>
    <w:rsid w:val="006D70DC"/>
    <w:rsid w:val="006D7BA7"/>
    <w:rsid w:val="006D7ED7"/>
    <w:rsid w:val="006E00CF"/>
    <w:rsid w:val="006E06AE"/>
    <w:rsid w:val="006E1270"/>
    <w:rsid w:val="006E1950"/>
    <w:rsid w:val="006E1967"/>
    <w:rsid w:val="006E2AE6"/>
    <w:rsid w:val="006E2E81"/>
    <w:rsid w:val="006E3543"/>
    <w:rsid w:val="006E48CF"/>
    <w:rsid w:val="006E5FEB"/>
    <w:rsid w:val="006F0679"/>
    <w:rsid w:val="006F09BF"/>
    <w:rsid w:val="006F0DD9"/>
    <w:rsid w:val="006F148B"/>
    <w:rsid w:val="006F213E"/>
    <w:rsid w:val="006F26B5"/>
    <w:rsid w:val="006F26B7"/>
    <w:rsid w:val="006F3253"/>
    <w:rsid w:val="006F4395"/>
    <w:rsid w:val="006F4B18"/>
    <w:rsid w:val="006F4EC4"/>
    <w:rsid w:val="006F65A2"/>
    <w:rsid w:val="006F6A41"/>
    <w:rsid w:val="006F76CE"/>
    <w:rsid w:val="006F7FB6"/>
    <w:rsid w:val="007014AB"/>
    <w:rsid w:val="007017C6"/>
    <w:rsid w:val="00701DD6"/>
    <w:rsid w:val="00702733"/>
    <w:rsid w:val="00703028"/>
    <w:rsid w:val="0070417A"/>
    <w:rsid w:val="00704805"/>
    <w:rsid w:val="0070512C"/>
    <w:rsid w:val="00706B69"/>
    <w:rsid w:val="00710108"/>
    <w:rsid w:val="00711002"/>
    <w:rsid w:val="007116B7"/>
    <w:rsid w:val="00711E55"/>
    <w:rsid w:val="007120D0"/>
    <w:rsid w:val="00712EA1"/>
    <w:rsid w:val="00713606"/>
    <w:rsid w:val="00713D68"/>
    <w:rsid w:val="00715C32"/>
    <w:rsid w:val="007165FF"/>
    <w:rsid w:val="00717666"/>
    <w:rsid w:val="00720468"/>
    <w:rsid w:val="00720816"/>
    <w:rsid w:val="00722772"/>
    <w:rsid w:val="00723266"/>
    <w:rsid w:val="00723E14"/>
    <w:rsid w:val="00723E4D"/>
    <w:rsid w:val="0072421B"/>
    <w:rsid w:val="00724AE6"/>
    <w:rsid w:val="00725048"/>
    <w:rsid w:val="007250D0"/>
    <w:rsid w:val="0072590A"/>
    <w:rsid w:val="00725A5F"/>
    <w:rsid w:val="0072712E"/>
    <w:rsid w:val="00727856"/>
    <w:rsid w:val="007325E5"/>
    <w:rsid w:val="00732E05"/>
    <w:rsid w:val="00733850"/>
    <w:rsid w:val="00734944"/>
    <w:rsid w:val="00734995"/>
    <w:rsid w:val="00734B77"/>
    <w:rsid w:val="00735FDB"/>
    <w:rsid w:val="00736ECE"/>
    <w:rsid w:val="00737109"/>
    <w:rsid w:val="007416B1"/>
    <w:rsid w:val="00741AF9"/>
    <w:rsid w:val="00741C58"/>
    <w:rsid w:val="0074248E"/>
    <w:rsid w:val="00743AAE"/>
    <w:rsid w:val="00743C37"/>
    <w:rsid w:val="00744E83"/>
    <w:rsid w:val="007457DE"/>
    <w:rsid w:val="007458FC"/>
    <w:rsid w:val="00746B38"/>
    <w:rsid w:val="00746EDB"/>
    <w:rsid w:val="00747715"/>
    <w:rsid w:val="007516C3"/>
    <w:rsid w:val="007518D6"/>
    <w:rsid w:val="00751F39"/>
    <w:rsid w:val="007520F6"/>
    <w:rsid w:val="0075228C"/>
    <w:rsid w:val="00753299"/>
    <w:rsid w:val="007532F2"/>
    <w:rsid w:val="00753807"/>
    <w:rsid w:val="007539EA"/>
    <w:rsid w:val="00755D7C"/>
    <w:rsid w:val="00756D63"/>
    <w:rsid w:val="00756E11"/>
    <w:rsid w:val="00757A6A"/>
    <w:rsid w:val="00757AD9"/>
    <w:rsid w:val="00762C21"/>
    <w:rsid w:val="00762FD8"/>
    <w:rsid w:val="00763FA1"/>
    <w:rsid w:val="00766E62"/>
    <w:rsid w:val="007676FE"/>
    <w:rsid w:val="00770564"/>
    <w:rsid w:val="00770569"/>
    <w:rsid w:val="00770618"/>
    <w:rsid w:val="00770F4A"/>
    <w:rsid w:val="00771894"/>
    <w:rsid w:val="00772A8C"/>
    <w:rsid w:val="0077327E"/>
    <w:rsid w:val="00773F0E"/>
    <w:rsid w:val="00776BAC"/>
    <w:rsid w:val="00777783"/>
    <w:rsid w:val="00777905"/>
    <w:rsid w:val="00777B40"/>
    <w:rsid w:val="00777FFD"/>
    <w:rsid w:val="007802C5"/>
    <w:rsid w:val="007843FE"/>
    <w:rsid w:val="00784A6D"/>
    <w:rsid w:val="00784BC9"/>
    <w:rsid w:val="00785BAF"/>
    <w:rsid w:val="00786FCF"/>
    <w:rsid w:val="0078778B"/>
    <w:rsid w:val="0078797B"/>
    <w:rsid w:val="0079038A"/>
    <w:rsid w:val="00790924"/>
    <w:rsid w:val="00793F70"/>
    <w:rsid w:val="007955CC"/>
    <w:rsid w:val="0079585F"/>
    <w:rsid w:val="007971F5"/>
    <w:rsid w:val="007979DE"/>
    <w:rsid w:val="00797FEC"/>
    <w:rsid w:val="007A0FAC"/>
    <w:rsid w:val="007A3790"/>
    <w:rsid w:val="007A390A"/>
    <w:rsid w:val="007A441D"/>
    <w:rsid w:val="007A4F40"/>
    <w:rsid w:val="007A53CF"/>
    <w:rsid w:val="007A5955"/>
    <w:rsid w:val="007A59B7"/>
    <w:rsid w:val="007A5E3F"/>
    <w:rsid w:val="007A6C88"/>
    <w:rsid w:val="007A72F9"/>
    <w:rsid w:val="007B0741"/>
    <w:rsid w:val="007B0B6B"/>
    <w:rsid w:val="007B29BA"/>
    <w:rsid w:val="007B3C1F"/>
    <w:rsid w:val="007B405F"/>
    <w:rsid w:val="007B5A1C"/>
    <w:rsid w:val="007B71CE"/>
    <w:rsid w:val="007B75BB"/>
    <w:rsid w:val="007B77BC"/>
    <w:rsid w:val="007B7810"/>
    <w:rsid w:val="007B7897"/>
    <w:rsid w:val="007B7A96"/>
    <w:rsid w:val="007C0451"/>
    <w:rsid w:val="007C167E"/>
    <w:rsid w:val="007C17B4"/>
    <w:rsid w:val="007C28EE"/>
    <w:rsid w:val="007C38B5"/>
    <w:rsid w:val="007C3E99"/>
    <w:rsid w:val="007C4CA9"/>
    <w:rsid w:val="007C50BA"/>
    <w:rsid w:val="007C5CF3"/>
    <w:rsid w:val="007C61A9"/>
    <w:rsid w:val="007C7A28"/>
    <w:rsid w:val="007D0BF5"/>
    <w:rsid w:val="007D198C"/>
    <w:rsid w:val="007D47C3"/>
    <w:rsid w:val="007D716C"/>
    <w:rsid w:val="007D7876"/>
    <w:rsid w:val="007E041E"/>
    <w:rsid w:val="007E1CEE"/>
    <w:rsid w:val="007E2A8C"/>
    <w:rsid w:val="007E2F58"/>
    <w:rsid w:val="007E329F"/>
    <w:rsid w:val="007E32FD"/>
    <w:rsid w:val="007E48EF"/>
    <w:rsid w:val="007E5434"/>
    <w:rsid w:val="007E6EAA"/>
    <w:rsid w:val="007F03C2"/>
    <w:rsid w:val="007F0F18"/>
    <w:rsid w:val="007F2708"/>
    <w:rsid w:val="007F3335"/>
    <w:rsid w:val="007F3386"/>
    <w:rsid w:val="007F3428"/>
    <w:rsid w:val="007F4507"/>
    <w:rsid w:val="007F4FCF"/>
    <w:rsid w:val="007F6C31"/>
    <w:rsid w:val="00800A60"/>
    <w:rsid w:val="00802373"/>
    <w:rsid w:val="00802CAA"/>
    <w:rsid w:val="00802D58"/>
    <w:rsid w:val="0080340C"/>
    <w:rsid w:val="008046FD"/>
    <w:rsid w:val="008048D7"/>
    <w:rsid w:val="00810CC8"/>
    <w:rsid w:val="00810D61"/>
    <w:rsid w:val="00811331"/>
    <w:rsid w:val="00811BD3"/>
    <w:rsid w:val="0081275B"/>
    <w:rsid w:val="008131E7"/>
    <w:rsid w:val="00813E0B"/>
    <w:rsid w:val="00814C9D"/>
    <w:rsid w:val="008159D7"/>
    <w:rsid w:val="00815CF2"/>
    <w:rsid w:val="0081600D"/>
    <w:rsid w:val="008169C3"/>
    <w:rsid w:val="00817D27"/>
    <w:rsid w:val="00821622"/>
    <w:rsid w:val="00821D3F"/>
    <w:rsid w:val="00821FC9"/>
    <w:rsid w:val="00822E27"/>
    <w:rsid w:val="00823346"/>
    <w:rsid w:val="00823914"/>
    <w:rsid w:val="0082443B"/>
    <w:rsid w:val="00824879"/>
    <w:rsid w:val="00824B9D"/>
    <w:rsid w:val="008263D1"/>
    <w:rsid w:val="008266C1"/>
    <w:rsid w:val="00826BBA"/>
    <w:rsid w:val="00826BBD"/>
    <w:rsid w:val="008275E0"/>
    <w:rsid w:val="0083033A"/>
    <w:rsid w:val="00830A47"/>
    <w:rsid w:val="0083114D"/>
    <w:rsid w:val="00831943"/>
    <w:rsid w:val="00833A10"/>
    <w:rsid w:val="00833D48"/>
    <w:rsid w:val="008341E9"/>
    <w:rsid w:val="00834513"/>
    <w:rsid w:val="0083552C"/>
    <w:rsid w:val="00840325"/>
    <w:rsid w:val="0084259C"/>
    <w:rsid w:val="00842757"/>
    <w:rsid w:val="00842C6C"/>
    <w:rsid w:val="0084363D"/>
    <w:rsid w:val="00843980"/>
    <w:rsid w:val="00844266"/>
    <w:rsid w:val="00844532"/>
    <w:rsid w:val="008464BB"/>
    <w:rsid w:val="00846E3E"/>
    <w:rsid w:val="008470FD"/>
    <w:rsid w:val="00847E5E"/>
    <w:rsid w:val="00847F76"/>
    <w:rsid w:val="0085176B"/>
    <w:rsid w:val="00852768"/>
    <w:rsid w:val="00852929"/>
    <w:rsid w:val="00853E42"/>
    <w:rsid w:val="008571E3"/>
    <w:rsid w:val="00860407"/>
    <w:rsid w:val="00860701"/>
    <w:rsid w:val="00861243"/>
    <w:rsid w:val="008616FE"/>
    <w:rsid w:val="00862305"/>
    <w:rsid w:val="00862729"/>
    <w:rsid w:val="008639E5"/>
    <w:rsid w:val="008642E5"/>
    <w:rsid w:val="008643CB"/>
    <w:rsid w:val="00864880"/>
    <w:rsid w:val="00866530"/>
    <w:rsid w:val="008706C0"/>
    <w:rsid w:val="00870E99"/>
    <w:rsid w:val="00871988"/>
    <w:rsid w:val="00871F3C"/>
    <w:rsid w:val="00872088"/>
    <w:rsid w:val="008736B0"/>
    <w:rsid w:val="0087563E"/>
    <w:rsid w:val="008768F4"/>
    <w:rsid w:val="00880829"/>
    <w:rsid w:val="0088271B"/>
    <w:rsid w:val="00884824"/>
    <w:rsid w:val="0088532A"/>
    <w:rsid w:val="008855DE"/>
    <w:rsid w:val="008856BD"/>
    <w:rsid w:val="00886215"/>
    <w:rsid w:val="00886A55"/>
    <w:rsid w:val="00891A2A"/>
    <w:rsid w:val="0089259E"/>
    <w:rsid w:val="00892AD8"/>
    <w:rsid w:val="008932E1"/>
    <w:rsid w:val="00893B2B"/>
    <w:rsid w:val="00893BA7"/>
    <w:rsid w:val="00894DF4"/>
    <w:rsid w:val="00895C43"/>
    <w:rsid w:val="00895DDD"/>
    <w:rsid w:val="00896E8F"/>
    <w:rsid w:val="0089762E"/>
    <w:rsid w:val="00897C43"/>
    <w:rsid w:val="008A27A9"/>
    <w:rsid w:val="008A2858"/>
    <w:rsid w:val="008A2EFD"/>
    <w:rsid w:val="008A59E6"/>
    <w:rsid w:val="008A59E9"/>
    <w:rsid w:val="008A6115"/>
    <w:rsid w:val="008A69B3"/>
    <w:rsid w:val="008A6B56"/>
    <w:rsid w:val="008A796E"/>
    <w:rsid w:val="008A79F0"/>
    <w:rsid w:val="008B0890"/>
    <w:rsid w:val="008B2CDB"/>
    <w:rsid w:val="008B38B9"/>
    <w:rsid w:val="008B50D1"/>
    <w:rsid w:val="008B5503"/>
    <w:rsid w:val="008B6F55"/>
    <w:rsid w:val="008B7585"/>
    <w:rsid w:val="008B7ACF"/>
    <w:rsid w:val="008C1277"/>
    <w:rsid w:val="008C3A96"/>
    <w:rsid w:val="008C5312"/>
    <w:rsid w:val="008C593A"/>
    <w:rsid w:val="008C5C84"/>
    <w:rsid w:val="008C69D8"/>
    <w:rsid w:val="008C6D2A"/>
    <w:rsid w:val="008C7AF4"/>
    <w:rsid w:val="008D0861"/>
    <w:rsid w:val="008D0CC9"/>
    <w:rsid w:val="008D0D4E"/>
    <w:rsid w:val="008D0EF5"/>
    <w:rsid w:val="008D1DCB"/>
    <w:rsid w:val="008D1E1E"/>
    <w:rsid w:val="008D269C"/>
    <w:rsid w:val="008D356B"/>
    <w:rsid w:val="008D5F2F"/>
    <w:rsid w:val="008D67E9"/>
    <w:rsid w:val="008D67F1"/>
    <w:rsid w:val="008D6A83"/>
    <w:rsid w:val="008E02DC"/>
    <w:rsid w:val="008E0438"/>
    <w:rsid w:val="008E0BE6"/>
    <w:rsid w:val="008E1982"/>
    <w:rsid w:val="008E234A"/>
    <w:rsid w:val="008E49CE"/>
    <w:rsid w:val="008E63D1"/>
    <w:rsid w:val="008E63DD"/>
    <w:rsid w:val="008E667E"/>
    <w:rsid w:val="008E778A"/>
    <w:rsid w:val="008F08A4"/>
    <w:rsid w:val="008F09E6"/>
    <w:rsid w:val="008F231F"/>
    <w:rsid w:val="008F3AC5"/>
    <w:rsid w:val="008F40CF"/>
    <w:rsid w:val="008F7D23"/>
    <w:rsid w:val="009012B3"/>
    <w:rsid w:val="00901537"/>
    <w:rsid w:val="00902CFC"/>
    <w:rsid w:val="00902ED6"/>
    <w:rsid w:val="009054DE"/>
    <w:rsid w:val="00905973"/>
    <w:rsid w:val="00910B37"/>
    <w:rsid w:val="0091397D"/>
    <w:rsid w:val="00913E0B"/>
    <w:rsid w:val="00913E8C"/>
    <w:rsid w:val="0091519C"/>
    <w:rsid w:val="00915B9F"/>
    <w:rsid w:val="00915D0B"/>
    <w:rsid w:val="0091735E"/>
    <w:rsid w:val="00917549"/>
    <w:rsid w:val="0091786E"/>
    <w:rsid w:val="00920353"/>
    <w:rsid w:val="009221B6"/>
    <w:rsid w:val="00922792"/>
    <w:rsid w:val="00923493"/>
    <w:rsid w:val="009236C1"/>
    <w:rsid w:val="00923DA4"/>
    <w:rsid w:val="00924921"/>
    <w:rsid w:val="00924C83"/>
    <w:rsid w:val="00926004"/>
    <w:rsid w:val="00926B12"/>
    <w:rsid w:val="00930F48"/>
    <w:rsid w:val="0093107D"/>
    <w:rsid w:val="00931A47"/>
    <w:rsid w:val="0093209D"/>
    <w:rsid w:val="009320AF"/>
    <w:rsid w:val="00932E01"/>
    <w:rsid w:val="00933FEE"/>
    <w:rsid w:val="00934608"/>
    <w:rsid w:val="009358AC"/>
    <w:rsid w:val="00936C69"/>
    <w:rsid w:val="00936ECD"/>
    <w:rsid w:val="009377E0"/>
    <w:rsid w:val="00937E13"/>
    <w:rsid w:val="00940665"/>
    <w:rsid w:val="00942C85"/>
    <w:rsid w:val="0094358E"/>
    <w:rsid w:val="00943C93"/>
    <w:rsid w:val="009444F4"/>
    <w:rsid w:val="0094507D"/>
    <w:rsid w:val="009450A9"/>
    <w:rsid w:val="009450C0"/>
    <w:rsid w:val="009451B3"/>
    <w:rsid w:val="009454B6"/>
    <w:rsid w:val="009455BD"/>
    <w:rsid w:val="00946CA4"/>
    <w:rsid w:val="0094758C"/>
    <w:rsid w:val="009500BE"/>
    <w:rsid w:val="0095032B"/>
    <w:rsid w:val="00951800"/>
    <w:rsid w:val="00951BF9"/>
    <w:rsid w:val="00951E52"/>
    <w:rsid w:val="00951FE1"/>
    <w:rsid w:val="0095280F"/>
    <w:rsid w:val="00952D8A"/>
    <w:rsid w:val="00953998"/>
    <w:rsid w:val="00953DA4"/>
    <w:rsid w:val="009604D5"/>
    <w:rsid w:val="00960567"/>
    <w:rsid w:val="00960C44"/>
    <w:rsid w:val="00960D03"/>
    <w:rsid w:val="00961F7F"/>
    <w:rsid w:val="00962AEB"/>
    <w:rsid w:val="00962C6E"/>
    <w:rsid w:val="0096326C"/>
    <w:rsid w:val="00965017"/>
    <w:rsid w:val="00966BB3"/>
    <w:rsid w:val="00967A56"/>
    <w:rsid w:val="0097132C"/>
    <w:rsid w:val="00971727"/>
    <w:rsid w:val="009717EF"/>
    <w:rsid w:val="00971995"/>
    <w:rsid w:val="00971C0A"/>
    <w:rsid w:val="00971D88"/>
    <w:rsid w:val="00971FF6"/>
    <w:rsid w:val="00972013"/>
    <w:rsid w:val="0097324D"/>
    <w:rsid w:val="00973F5B"/>
    <w:rsid w:val="009742BD"/>
    <w:rsid w:val="0097598B"/>
    <w:rsid w:val="00975B07"/>
    <w:rsid w:val="00976301"/>
    <w:rsid w:val="00976CBC"/>
    <w:rsid w:val="00977540"/>
    <w:rsid w:val="00980803"/>
    <w:rsid w:val="00980A36"/>
    <w:rsid w:val="009821AF"/>
    <w:rsid w:val="0098241D"/>
    <w:rsid w:val="00982A4B"/>
    <w:rsid w:val="009831E4"/>
    <w:rsid w:val="00983445"/>
    <w:rsid w:val="009839AF"/>
    <w:rsid w:val="0098499D"/>
    <w:rsid w:val="00984D55"/>
    <w:rsid w:val="009867D2"/>
    <w:rsid w:val="0098711F"/>
    <w:rsid w:val="00987771"/>
    <w:rsid w:val="00987AB9"/>
    <w:rsid w:val="009901CB"/>
    <w:rsid w:val="009926B8"/>
    <w:rsid w:val="00993AA1"/>
    <w:rsid w:val="009952A1"/>
    <w:rsid w:val="00997A93"/>
    <w:rsid w:val="009A3F5A"/>
    <w:rsid w:val="009A48D5"/>
    <w:rsid w:val="009A4AC7"/>
    <w:rsid w:val="009A4C79"/>
    <w:rsid w:val="009A5618"/>
    <w:rsid w:val="009A63E7"/>
    <w:rsid w:val="009A66CE"/>
    <w:rsid w:val="009A6A41"/>
    <w:rsid w:val="009A77F3"/>
    <w:rsid w:val="009B0D80"/>
    <w:rsid w:val="009B109A"/>
    <w:rsid w:val="009B11D6"/>
    <w:rsid w:val="009B26D3"/>
    <w:rsid w:val="009B3D44"/>
    <w:rsid w:val="009B3E12"/>
    <w:rsid w:val="009B40B4"/>
    <w:rsid w:val="009B4138"/>
    <w:rsid w:val="009B72AB"/>
    <w:rsid w:val="009C005D"/>
    <w:rsid w:val="009C1246"/>
    <w:rsid w:val="009C1E4A"/>
    <w:rsid w:val="009C4027"/>
    <w:rsid w:val="009C48EE"/>
    <w:rsid w:val="009C4DFF"/>
    <w:rsid w:val="009C5079"/>
    <w:rsid w:val="009C5276"/>
    <w:rsid w:val="009C6676"/>
    <w:rsid w:val="009C7168"/>
    <w:rsid w:val="009C72C1"/>
    <w:rsid w:val="009C78FA"/>
    <w:rsid w:val="009D0FCA"/>
    <w:rsid w:val="009D1E32"/>
    <w:rsid w:val="009D2F7B"/>
    <w:rsid w:val="009D2FD1"/>
    <w:rsid w:val="009D325E"/>
    <w:rsid w:val="009D343E"/>
    <w:rsid w:val="009D3E88"/>
    <w:rsid w:val="009D4779"/>
    <w:rsid w:val="009D5FF0"/>
    <w:rsid w:val="009D6235"/>
    <w:rsid w:val="009D646A"/>
    <w:rsid w:val="009D731A"/>
    <w:rsid w:val="009D7340"/>
    <w:rsid w:val="009D7B36"/>
    <w:rsid w:val="009E2505"/>
    <w:rsid w:val="009E2E8F"/>
    <w:rsid w:val="009E3259"/>
    <w:rsid w:val="009E3D85"/>
    <w:rsid w:val="009E44CE"/>
    <w:rsid w:val="009E594C"/>
    <w:rsid w:val="009E6ED7"/>
    <w:rsid w:val="009E74CF"/>
    <w:rsid w:val="009F1993"/>
    <w:rsid w:val="009F2211"/>
    <w:rsid w:val="009F3165"/>
    <w:rsid w:val="009F3830"/>
    <w:rsid w:val="009F3E74"/>
    <w:rsid w:val="009F6564"/>
    <w:rsid w:val="009F7A25"/>
    <w:rsid w:val="00A006FA"/>
    <w:rsid w:val="00A00E87"/>
    <w:rsid w:val="00A014CE"/>
    <w:rsid w:val="00A01662"/>
    <w:rsid w:val="00A025E9"/>
    <w:rsid w:val="00A07C5C"/>
    <w:rsid w:val="00A07EC7"/>
    <w:rsid w:val="00A105D0"/>
    <w:rsid w:val="00A138BE"/>
    <w:rsid w:val="00A13930"/>
    <w:rsid w:val="00A13D2B"/>
    <w:rsid w:val="00A14964"/>
    <w:rsid w:val="00A14CC6"/>
    <w:rsid w:val="00A14DDB"/>
    <w:rsid w:val="00A17739"/>
    <w:rsid w:val="00A17D4A"/>
    <w:rsid w:val="00A17FA1"/>
    <w:rsid w:val="00A20892"/>
    <w:rsid w:val="00A20A66"/>
    <w:rsid w:val="00A215C7"/>
    <w:rsid w:val="00A22021"/>
    <w:rsid w:val="00A233E0"/>
    <w:rsid w:val="00A237A0"/>
    <w:rsid w:val="00A24858"/>
    <w:rsid w:val="00A24B9F"/>
    <w:rsid w:val="00A24F8D"/>
    <w:rsid w:val="00A2532B"/>
    <w:rsid w:val="00A253EE"/>
    <w:rsid w:val="00A278CF"/>
    <w:rsid w:val="00A30131"/>
    <w:rsid w:val="00A3055A"/>
    <w:rsid w:val="00A3067B"/>
    <w:rsid w:val="00A3067F"/>
    <w:rsid w:val="00A30902"/>
    <w:rsid w:val="00A31C04"/>
    <w:rsid w:val="00A3267A"/>
    <w:rsid w:val="00A33254"/>
    <w:rsid w:val="00A354FE"/>
    <w:rsid w:val="00A40216"/>
    <w:rsid w:val="00A4090D"/>
    <w:rsid w:val="00A426A4"/>
    <w:rsid w:val="00A4431F"/>
    <w:rsid w:val="00A44FF5"/>
    <w:rsid w:val="00A4657F"/>
    <w:rsid w:val="00A4695A"/>
    <w:rsid w:val="00A51A81"/>
    <w:rsid w:val="00A523DF"/>
    <w:rsid w:val="00A53692"/>
    <w:rsid w:val="00A53FD3"/>
    <w:rsid w:val="00A549BF"/>
    <w:rsid w:val="00A5590F"/>
    <w:rsid w:val="00A55FC0"/>
    <w:rsid w:val="00A56532"/>
    <w:rsid w:val="00A56FEB"/>
    <w:rsid w:val="00A606B6"/>
    <w:rsid w:val="00A63190"/>
    <w:rsid w:val="00A65F34"/>
    <w:rsid w:val="00A66B0B"/>
    <w:rsid w:val="00A7071C"/>
    <w:rsid w:val="00A71F79"/>
    <w:rsid w:val="00A720D9"/>
    <w:rsid w:val="00A72E4C"/>
    <w:rsid w:val="00A73247"/>
    <w:rsid w:val="00A73DB2"/>
    <w:rsid w:val="00A740D1"/>
    <w:rsid w:val="00A74414"/>
    <w:rsid w:val="00A747AE"/>
    <w:rsid w:val="00A76266"/>
    <w:rsid w:val="00A76C19"/>
    <w:rsid w:val="00A804E3"/>
    <w:rsid w:val="00A8075D"/>
    <w:rsid w:val="00A813D5"/>
    <w:rsid w:val="00A81D85"/>
    <w:rsid w:val="00A82102"/>
    <w:rsid w:val="00A8221D"/>
    <w:rsid w:val="00A82A86"/>
    <w:rsid w:val="00A82FD7"/>
    <w:rsid w:val="00A8311C"/>
    <w:rsid w:val="00A832EC"/>
    <w:rsid w:val="00A84E62"/>
    <w:rsid w:val="00A851CE"/>
    <w:rsid w:val="00A859C9"/>
    <w:rsid w:val="00A920A1"/>
    <w:rsid w:val="00A92142"/>
    <w:rsid w:val="00A92BC2"/>
    <w:rsid w:val="00A93096"/>
    <w:rsid w:val="00A93E68"/>
    <w:rsid w:val="00A93EB1"/>
    <w:rsid w:val="00A95467"/>
    <w:rsid w:val="00AA126F"/>
    <w:rsid w:val="00AA4031"/>
    <w:rsid w:val="00AA4998"/>
    <w:rsid w:val="00AA4B4C"/>
    <w:rsid w:val="00AA7A45"/>
    <w:rsid w:val="00AB0A10"/>
    <w:rsid w:val="00AB0FDD"/>
    <w:rsid w:val="00AB190B"/>
    <w:rsid w:val="00AB1BDF"/>
    <w:rsid w:val="00AB298C"/>
    <w:rsid w:val="00AB3945"/>
    <w:rsid w:val="00AB44D7"/>
    <w:rsid w:val="00AB466D"/>
    <w:rsid w:val="00AB47ED"/>
    <w:rsid w:val="00AB5C19"/>
    <w:rsid w:val="00AB7339"/>
    <w:rsid w:val="00AC0376"/>
    <w:rsid w:val="00AC0B23"/>
    <w:rsid w:val="00AC0DEC"/>
    <w:rsid w:val="00AC0E32"/>
    <w:rsid w:val="00AC174E"/>
    <w:rsid w:val="00AC1A00"/>
    <w:rsid w:val="00AC1E0F"/>
    <w:rsid w:val="00AC31C8"/>
    <w:rsid w:val="00AC37DF"/>
    <w:rsid w:val="00AC44E1"/>
    <w:rsid w:val="00AC473E"/>
    <w:rsid w:val="00AC6A41"/>
    <w:rsid w:val="00AC6EF3"/>
    <w:rsid w:val="00AC6FB1"/>
    <w:rsid w:val="00AC7739"/>
    <w:rsid w:val="00AC7AA3"/>
    <w:rsid w:val="00AD1FCE"/>
    <w:rsid w:val="00AD201C"/>
    <w:rsid w:val="00AD23EB"/>
    <w:rsid w:val="00AD250B"/>
    <w:rsid w:val="00AD2A3B"/>
    <w:rsid w:val="00AD2EDD"/>
    <w:rsid w:val="00AD30E7"/>
    <w:rsid w:val="00AD31F0"/>
    <w:rsid w:val="00AD5D57"/>
    <w:rsid w:val="00AD624D"/>
    <w:rsid w:val="00AD6544"/>
    <w:rsid w:val="00AD6F1D"/>
    <w:rsid w:val="00AE03EF"/>
    <w:rsid w:val="00AE0F30"/>
    <w:rsid w:val="00AE0FB8"/>
    <w:rsid w:val="00AE1E72"/>
    <w:rsid w:val="00AE22EC"/>
    <w:rsid w:val="00AE2895"/>
    <w:rsid w:val="00AE3586"/>
    <w:rsid w:val="00AE6241"/>
    <w:rsid w:val="00AE6955"/>
    <w:rsid w:val="00AE70A1"/>
    <w:rsid w:val="00AE74A1"/>
    <w:rsid w:val="00AE776E"/>
    <w:rsid w:val="00AF1F30"/>
    <w:rsid w:val="00AF2FF8"/>
    <w:rsid w:val="00AF3E9C"/>
    <w:rsid w:val="00AF5D33"/>
    <w:rsid w:val="00AF6543"/>
    <w:rsid w:val="00B00264"/>
    <w:rsid w:val="00B0059A"/>
    <w:rsid w:val="00B0078E"/>
    <w:rsid w:val="00B007C7"/>
    <w:rsid w:val="00B0118F"/>
    <w:rsid w:val="00B029E2"/>
    <w:rsid w:val="00B02B8C"/>
    <w:rsid w:val="00B03631"/>
    <w:rsid w:val="00B038B0"/>
    <w:rsid w:val="00B05F9B"/>
    <w:rsid w:val="00B06226"/>
    <w:rsid w:val="00B068CF"/>
    <w:rsid w:val="00B06A2D"/>
    <w:rsid w:val="00B06FD5"/>
    <w:rsid w:val="00B07652"/>
    <w:rsid w:val="00B07BDE"/>
    <w:rsid w:val="00B07D04"/>
    <w:rsid w:val="00B11118"/>
    <w:rsid w:val="00B11CEA"/>
    <w:rsid w:val="00B1297B"/>
    <w:rsid w:val="00B12D9D"/>
    <w:rsid w:val="00B15087"/>
    <w:rsid w:val="00B151D6"/>
    <w:rsid w:val="00B1751A"/>
    <w:rsid w:val="00B21218"/>
    <w:rsid w:val="00B21974"/>
    <w:rsid w:val="00B21D25"/>
    <w:rsid w:val="00B22EF8"/>
    <w:rsid w:val="00B23840"/>
    <w:rsid w:val="00B244C6"/>
    <w:rsid w:val="00B24734"/>
    <w:rsid w:val="00B260FA"/>
    <w:rsid w:val="00B27661"/>
    <w:rsid w:val="00B27955"/>
    <w:rsid w:val="00B30926"/>
    <w:rsid w:val="00B316F7"/>
    <w:rsid w:val="00B328F3"/>
    <w:rsid w:val="00B32D05"/>
    <w:rsid w:val="00B32E9B"/>
    <w:rsid w:val="00B336C3"/>
    <w:rsid w:val="00B3376E"/>
    <w:rsid w:val="00B33872"/>
    <w:rsid w:val="00B340F5"/>
    <w:rsid w:val="00B34DB2"/>
    <w:rsid w:val="00B36B20"/>
    <w:rsid w:val="00B37092"/>
    <w:rsid w:val="00B37149"/>
    <w:rsid w:val="00B43DEF"/>
    <w:rsid w:val="00B45744"/>
    <w:rsid w:val="00B47379"/>
    <w:rsid w:val="00B47382"/>
    <w:rsid w:val="00B473E1"/>
    <w:rsid w:val="00B47507"/>
    <w:rsid w:val="00B47DDC"/>
    <w:rsid w:val="00B500FA"/>
    <w:rsid w:val="00B506F1"/>
    <w:rsid w:val="00B50B89"/>
    <w:rsid w:val="00B52AD9"/>
    <w:rsid w:val="00B542D7"/>
    <w:rsid w:val="00B5435C"/>
    <w:rsid w:val="00B5537B"/>
    <w:rsid w:val="00B5538A"/>
    <w:rsid w:val="00B55AB6"/>
    <w:rsid w:val="00B56882"/>
    <w:rsid w:val="00B569E7"/>
    <w:rsid w:val="00B576BC"/>
    <w:rsid w:val="00B579B6"/>
    <w:rsid w:val="00B57B0E"/>
    <w:rsid w:val="00B626C1"/>
    <w:rsid w:val="00B63566"/>
    <w:rsid w:val="00B64049"/>
    <w:rsid w:val="00B644DE"/>
    <w:rsid w:val="00B64A3C"/>
    <w:rsid w:val="00B653FF"/>
    <w:rsid w:val="00B66D75"/>
    <w:rsid w:val="00B66E33"/>
    <w:rsid w:val="00B670B3"/>
    <w:rsid w:val="00B67EBB"/>
    <w:rsid w:val="00B7043D"/>
    <w:rsid w:val="00B70BB6"/>
    <w:rsid w:val="00B7166F"/>
    <w:rsid w:val="00B730AB"/>
    <w:rsid w:val="00B73198"/>
    <w:rsid w:val="00B73243"/>
    <w:rsid w:val="00B73B61"/>
    <w:rsid w:val="00B74F90"/>
    <w:rsid w:val="00B77C5B"/>
    <w:rsid w:val="00B804A7"/>
    <w:rsid w:val="00B808C6"/>
    <w:rsid w:val="00B80A06"/>
    <w:rsid w:val="00B80BA0"/>
    <w:rsid w:val="00B81BC5"/>
    <w:rsid w:val="00B82883"/>
    <w:rsid w:val="00B83105"/>
    <w:rsid w:val="00B83487"/>
    <w:rsid w:val="00B85EB6"/>
    <w:rsid w:val="00B86124"/>
    <w:rsid w:val="00B8620D"/>
    <w:rsid w:val="00B8788F"/>
    <w:rsid w:val="00B87EEB"/>
    <w:rsid w:val="00B9047A"/>
    <w:rsid w:val="00B91ABE"/>
    <w:rsid w:val="00B92212"/>
    <w:rsid w:val="00B9274A"/>
    <w:rsid w:val="00B93723"/>
    <w:rsid w:val="00B947E4"/>
    <w:rsid w:val="00B96170"/>
    <w:rsid w:val="00B962E2"/>
    <w:rsid w:val="00BA0981"/>
    <w:rsid w:val="00BA0F54"/>
    <w:rsid w:val="00BA16D5"/>
    <w:rsid w:val="00BA1B72"/>
    <w:rsid w:val="00BA3289"/>
    <w:rsid w:val="00BA603F"/>
    <w:rsid w:val="00BA7715"/>
    <w:rsid w:val="00BB27C0"/>
    <w:rsid w:val="00BB4290"/>
    <w:rsid w:val="00BB6682"/>
    <w:rsid w:val="00BB7730"/>
    <w:rsid w:val="00BC044C"/>
    <w:rsid w:val="00BC06D7"/>
    <w:rsid w:val="00BC1A71"/>
    <w:rsid w:val="00BC2173"/>
    <w:rsid w:val="00BC260C"/>
    <w:rsid w:val="00BC2EC8"/>
    <w:rsid w:val="00BC6EE0"/>
    <w:rsid w:val="00BC7CC2"/>
    <w:rsid w:val="00BC7CE3"/>
    <w:rsid w:val="00BD04E6"/>
    <w:rsid w:val="00BD1173"/>
    <w:rsid w:val="00BD1CFE"/>
    <w:rsid w:val="00BD295B"/>
    <w:rsid w:val="00BD2A55"/>
    <w:rsid w:val="00BD6BE3"/>
    <w:rsid w:val="00BD7349"/>
    <w:rsid w:val="00BE0123"/>
    <w:rsid w:val="00BE0E59"/>
    <w:rsid w:val="00BE14A9"/>
    <w:rsid w:val="00BE19EA"/>
    <w:rsid w:val="00BE3884"/>
    <w:rsid w:val="00BE3DBD"/>
    <w:rsid w:val="00BE58E9"/>
    <w:rsid w:val="00BE608E"/>
    <w:rsid w:val="00BE649A"/>
    <w:rsid w:val="00BF0D8F"/>
    <w:rsid w:val="00BF2BD5"/>
    <w:rsid w:val="00BF301D"/>
    <w:rsid w:val="00BF333C"/>
    <w:rsid w:val="00BF4516"/>
    <w:rsid w:val="00BF586D"/>
    <w:rsid w:val="00BF621A"/>
    <w:rsid w:val="00BF6CD7"/>
    <w:rsid w:val="00BF70EB"/>
    <w:rsid w:val="00C01BDB"/>
    <w:rsid w:val="00C0329E"/>
    <w:rsid w:val="00C0405B"/>
    <w:rsid w:val="00C0474C"/>
    <w:rsid w:val="00C04F09"/>
    <w:rsid w:val="00C1106E"/>
    <w:rsid w:val="00C120CF"/>
    <w:rsid w:val="00C143CA"/>
    <w:rsid w:val="00C14501"/>
    <w:rsid w:val="00C14C10"/>
    <w:rsid w:val="00C1509A"/>
    <w:rsid w:val="00C15629"/>
    <w:rsid w:val="00C157B1"/>
    <w:rsid w:val="00C161F8"/>
    <w:rsid w:val="00C16DD9"/>
    <w:rsid w:val="00C171BB"/>
    <w:rsid w:val="00C17920"/>
    <w:rsid w:val="00C17FC1"/>
    <w:rsid w:val="00C21AC0"/>
    <w:rsid w:val="00C21CDC"/>
    <w:rsid w:val="00C21EE1"/>
    <w:rsid w:val="00C22712"/>
    <w:rsid w:val="00C22AB1"/>
    <w:rsid w:val="00C250A1"/>
    <w:rsid w:val="00C2519E"/>
    <w:rsid w:val="00C26774"/>
    <w:rsid w:val="00C268BA"/>
    <w:rsid w:val="00C26FCB"/>
    <w:rsid w:val="00C309B1"/>
    <w:rsid w:val="00C312B1"/>
    <w:rsid w:val="00C31969"/>
    <w:rsid w:val="00C31DEB"/>
    <w:rsid w:val="00C32543"/>
    <w:rsid w:val="00C330A4"/>
    <w:rsid w:val="00C332FB"/>
    <w:rsid w:val="00C33CDB"/>
    <w:rsid w:val="00C34558"/>
    <w:rsid w:val="00C34B65"/>
    <w:rsid w:val="00C3502D"/>
    <w:rsid w:val="00C37784"/>
    <w:rsid w:val="00C37E7D"/>
    <w:rsid w:val="00C4036D"/>
    <w:rsid w:val="00C413FB"/>
    <w:rsid w:val="00C421E4"/>
    <w:rsid w:val="00C4281F"/>
    <w:rsid w:val="00C42C82"/>
    <w:rsid w:val="00C44FCF"/>
    <w:rsid w:val="00C45214"/>
    <w:rsid w:val="00C469C4"/>
    <w:rsid w:val="00C470D9"/>
    <w:rsid w:val="00C47A89"/>
    <w:rsid w:val="00C47BAA"/>
    <w:rsid w:val="00C47EB1"/>
    <w:rsid w:val="00C51D28"/>
    <w:rsid w:val="00C51EF4"/>
    <w:rsid w:val="00C51FE1"/>
    <w:rsid w:val="00C5269A"/>
    <w:rsid w:val="00C53C7D"/>
    <w:rsid w:val="00C56FA3"/>
    <w:rsid w:val="00C57B0E"/>
    <w:rsid w:val="00C608A2"/>
    <w:rsid w:val="00C61D8C"/>
    <w:rsid w:val="00C61E78"/>
    <w:rsid w:val="00C61F51"/>
    <w:rsid w:val="00C62A1F"/>
    <w:rsid w:val="00C6403F"/>
    <w:rsid w:val="00C64C6E"/>
    <w:rsid w:val="00C65721"/>
    <w:rsid w:val="00C671CB"/>
    <w:rsid w:val="00C675F7"/>
    <w:rsid w:val="00C677D4"/>
    <w:rsid w:val="00C67C7E"/>
    <w:rsid w:val="00C67F69"/>
    <w:rsid w:val="00C70244"/>
    <w:rsid w:val="00C70307"/>
    <w:rsid w:val="00C70497"/>
    <w:rsid w:val="00C70E39"/>
    <w:rsid w:val="00C718BC"/>
    <w:rsid w:val="00C72090"/>
    <w:rsid w:val="00C72764"/>
    <w:rsid w:val="00C72A90"/>
    <w:rsid w:val="00C75734"/>
    <w:rsid w:val="00C7684A"/>
    <w:rsid w:val="00C774E6"/>
    <w:rsid w:val="00C77543"/>
    <w:rsid w:val="00C778CD"/>
    <w:rsid w:val="00C806F7"/>
    <w:rsid w:val="00C80896"/>
    <w:rsid w:val="00C80D03"/>
    <w:rsid w:val="00C813F3"/>
    <w:rsid w:val="00C841C8"/>
    <w:rsid w:val="00C842CB"/>
    <w:rsid w:val="00C84A98"/>
    <w:rsid w:val="00C856CC"/>
    <w:rsid w:val="00C86242"/>
    <w:rsid w:val="00C86887"/>
    <w:rsid w:val="00C86FC7"/>
    <w:rsid w:val="00C91EBC"/>
    <w:rsid w:val="00C920D4"/>
    <w:rsid w:val="00C92777"/>
    <w:rsid w:val="00C936C8"/>
    <w:rsid w:val="00C94A71"/>
    <w:rsid w:val="00C95BFB"/>
    <w:rsid w:val="00C96323"/>
    <w:rsid w:val="00C96D94"/>
    <w:rsid w:val="00C971B8"/>
    <w:rsid w:val="00CA14FD"/>
    <w:rsid w:val="00CA1618"/>
    <w:rsid w:val="00CA1933"/>
    <w:rsid w:val="00CA2CE1"/>
    <w:rsid w:val="00CA35CD"/>
    <w:rsid w:val="00CA3618"/>
    <w:rsid w:val="00CA3B4E"/>
    <w:rsid w:val="00CA469E"/>
    <w:rsid w:val="00CA4B91"/>
    <w:rsid w:val="00CA5E57"/>
    <w:rsid w:val="00CA6819"/>
    <w:rsid w:val="00CA68A3"/>
    <w:rsid w:val="00CA6EA5"/>
    <w:rsid w:val="00CA7BB0"/>
    <w:rsid w:val="00CB13E7"/>
    <w:rsid w:val="00CB1800"/>
    <w:rsid w:val="00CB3428"/>
    <w:rsid w:val="00CB4535"/>
    <w:rsid w:val="00CB520B"/>
    <w:rsid w:val="00CB531C"/>
    <w:rsid w:val="00CB60E2"/>
    <w:rsid w:val="00CB6578"/>
    <w:rsid w:val="00CB6E33"/>
    <w:rsid w:val="00CB76A4"/>
    <w:rsid w:val="00CC1605"/>
    <w:rsid w:val="00CC1D48"/>
    <w:rsid w:val="00CC2514"/>
    <w:rsid w:val="00CC25E3"/>
    <w:rsid w:val="00CC2D05"/>
    <w:rsid w:val="00CC33B4"/>
    <w:rsid w:val="00CC35C5"/>
    <w:rsid w:val="00CC37A8"/>
    <w:rsid w:val="00CC5A1F"/>
    <w:rsid w:val="00CC5AE9"/>
    <w:rsid w:val="00CC5F1C"/>
    <w:rsid w:val="00CD1168"/>
    <w:rsid w:val="00CD1F47"/>
    <w:rsid w:val="00CD2012"/>
    <w:rsid w:val="00CD2869"/>
    <w:rsid w:val="00CD2EED"/>
    <w:rsid w:val="00CD3187"/>
    <w:rsid w:val="00CD4611"/>
    <w:rsid w:val="00CD5060"/>
    <w:rsid w:val="00CD5525"/>
    <w:rsid w:val="00CD5746"/>
    <w:rsid w:val="00CD5984"/>
    <w:rsid w:val="00CD5EDB"/>
    <w:rsid w:val="00CD647F"/>
    <w:rsid w:val="00CD6E22"/>
    <w:rsid w:val="00CD7723"/>
    <w:rsid w:val="00CE03E9"/>
    <w:rsid w:val="00CE080F"/>
    <w:rsid w:val="00CE0D8D"/>
    <w:rsid w:val="00CE1D93"/>
    <w:rsid w:val="00CE376C"/>
    <w:rsid w:val="00CE4083"/>
    <w:rsid w:val="00CE42DA"/>
    <w:rsid w:val="00CE4570"/>
    <w:rsid w:val="00CE4C73"/>
    <w:rsid w:val="00CE4C86"/>
    <w:rsid w:val="00CE6781"/>
    <w:rsid w:val="00CE6B44"/>
    <w:rsid w:val="00CE764B"/>
    <w:rsid w:val="00CF099B"/>
    <w:rsid w:val="00CF23CE"/>
    <w:rsid w:val="00CF3244"/>
    <w:rsid w:val="00CF3610"/>
    <w:rsid w:val="00CF39E9"/>
    <w:rsid w:val="00CF4B55"/>
    <w:rsid w:val="00CF4B5A"/>
    <w:rsid w:val="00CF58D3"/>
    <w:rsid w:val="00CF5E2E"/>
    <w:rsid w:val="00CF66EE"/>
    <w:rsid w:val="00CF7B90"/>
    <w:rsid w:val="00D03C40"/>
    <w:rsid w:val="00D042A3"/>
    <w:rsid w:val="00D0569F"/>
    <w:rsid w:val="00D06F18"/>
    <w:rsid w:val="00D07013"/>
    <w:rsid w:val="00D0767F"/>
    <w:rsid w:val="00D07771"/>
    <w:rsid w:val="00D13129"/>
    <w:rsid w:val="00D1316F"/>
    <w:rsid w:val="00D13A70"/>
    <w:rsid w:val="00D13AAF"/>
    <w:rsid w:val="00D144D9"/>
    <w:rsid w:val="00D17479"/>
    <w:rsid w:val="00D21330"/>
    <w:rsid w:val="00D2212A"/>
    <w:rsid w:val="00D247EA"/>
    <w:rsid w:val="00D27883"/>
    <w:rsid w:val="00D303BB"/>
    <w:rsid w:val="00D3050C"/>
    <w:rsid w:val="00D31CDB"/>
    <w:rsid w:val="00D34819"/>
    <w:rsid w:val="00D35127"/>
    <w:rsid w:val="00D351E1"/>
    <w:rsid w:val="00D35839"/>
    <w:rsid w:val="00D36F3C"/>
    <w:rsid w:val="00D37804"/>
    <w:rsid w:val="00D4126F"/>
    <w:rsid w:val="00D41871"/>
    <w:rsid w:val="00D419A6"/>
    <w:rsid w:val="00D41AC7"/>
    <w:rsid w:val="00D41F6A"/>
    <w:rsid w:val="00D43A17"/>
    <w:rsid w:val="00D43C20"/>
    <w:rsid w:val="00D44D39"/>
    <w:rsid w:val="00D468BC"/>
    <w:rsid w:val="00D4740B"/>
    <w:rsid w:val="00D47A06"/>
    <w:rsid w:val="00D5011E"/>
    <w:rsid w:val="00D5056C"/>
    <w:rsid w:val="00D51306"/>
    <w:rsid w:val="00D532AF"/>
    <w:rsid w:val="00D53746"/>
    <w:rsid w:val="00D53B29"/>
    <w:rsid w:val="00D53E80"/>
    <w:rsid w:val="00D5642D"/>
    <w:rsid w:val="00D56545"/>
    <w:rsid w:val="00D56E21"/>
    <w:rsid w:val="00D575C5"/>
    <w:rsid w:val="00D577B0"/>
    <w:rsid w:val="00D600A7"/>
    <w:rsid w:val="00D60808"/>
    <w:rsid w:val="00D61245"/>
    <w:rsid w:val="00D6261C"/>
    <w:rsid w:val="00D629D5"/>
    <w:rsid w:val="00D6322D"/>
    <w:rsid w:val="00D65D99"/>
    <w:rsid w:val="00D6669A"/>
    <w:rsid w:val="00D66E8E"/>
    <w:rsid w:val="00D675EC"/>
    <w:rsid w:val="00D67813"/>
    <w:rsid w:val="00D67D69"/>
    <w:rsid w:val="00D7023A"/>
    <w:rsid w:val="00D70A44"/>
    <w:rsid w:val="00D70DEF"/>
    <w:rsid w:val="00D73789"/>
    <w:rsid w:val="00D739A2"/>
    <w:rsid w:val="00D7426E"/>
    <w:rsid w:val="00D7473F"/>
    <w:rsid w:val="00D74F32"/>
    <w:rsid w:val="00D75041"/>
    <w:rsid w:val="00D75D9D"/>
    <w:rsid w:val="00D76D0D"/>
    <w:rsid w:val="00D77B51"/>
    <w:rsid w:val="00D800AC"/>
    <w:rsid w:val="00D806F2"/>
    <w:rsid w:val="00D81122"/>
    <w:rsid w:val="00D8152D"/>
    <w:rsid w:val="00D819C0"/>
    <w:rsid w:val="00D81D3A"/>
    <w:rsid w:val="00D825C1"/>
    <w:rsid w:val="00D836AB"/>
    <w:rsid w:val="00D83D08"/>
    <w:rsid w:val="00D84A3D"/>
    <w:rsid w:val="00D84D26"/>
    <w:rsid w:val="00D8720A"/>
    <w:rsid w:val="00D87A0D"/>
    <w:rsid w:val="00D87F07"/>
    <w:rsid w:val="00D90433"/>
    <w:rsid w:val="00D90C34"/>
    <w:rsid w:val="00D912D5"/>
    <w:rsid w:val="00D93F89"/>
    <w:rsid w:val="00D94D39"/>
    <w:rsid w:val="00D9557C"/>
    <w:rsid w:val="00D95581"/>
    <w:rsid w:val="00D96160"/>
    <w:rsid w:val="00D965CB"/>
    <w:rsid w:val="00D96DD3"/>
    <w:rsid w:val="00DA25CC"/>
    <w:rsid w:val="00DA2686"/>
    <w:rsid w:val="00DA3A08"/>
    <w:rsid w:val="00DA416C"/>
    <w:rsid w:val="00DA6BFD"/>
    <w:rsid w:val="00DA7044"/>
    <w:rsid w:val="00DA7A7D"/>
    <w:rsid w:val="00DB0737"/>
    <w:rsid w:val="00DB0FCF"/>
    <w:rsid w:val="00DB117E"/>
    <w:rsid w:val="00DB256D"/>
    <w:rsid w:val="00DB2635"/>
    <w:rsid w:val="00DB3303"/>
    <w:rsid w:val="00DB50B0"/>
    <w:rsid w:val="00DB570E"/>
    <w:rsid w:val="00DB7D64"/>
    <w:rsid w:val="00DC09AF"/>
    <w:rsid w:val="00DC0D11"/>
    <w:rsid w:val="00DC0F51"/>
    <w:rsid w:val="00DC344C"/>
    <w:rsid w:val="00DC3C4E"/>
    <w:rsid w:val="00DC420B"/>
    <w:rsid w:val="00DC4329"/>
    <w:rsid w:val="00DC4941"/>
    <w:rsid w:val="00DC73DA"/>
    <w:rsid w:val="00DD1259"/>
    <w:rsid w:val="00DD17BA"/>
    <w:rsid w:val="00DD1994"/>
    <w:rsid w:val="00DD1DD1"/>
    <w:rsid w:val="00DD207A"/>
    <w:rsid w:val="00DD2455"/>
    <w:rsid w:val="00DD2C1A"/>
    <w:rsid w:val="00DD2C38"/>
    <w:rsid w:val="00DD3A55"/>
    <w:rsid w:val="00DD3D54"/>
    <w:rsid w:val="00DD4648"/>
    <w:rsid w:val="00DD481F"/>
    <w:rsid w:val="00DD6CCE"/>
    <w:rsid w:val="00DD781D"/>
    <w:rsid w:val="00DE002D"/>
    <w:rsid w:val="00DE2149"/>
    <w:rsid w:val="00DE30F6"/>
    <w:rsid w:val="00DE389F"/>
    <w:rsid w:val="00DE434F"/>
    <w:rsid w:val="00DE43E9"/>
    <w:rsid w:val="00DE5A1D"/>
    <w:rsid w:val="00DE5B8A"/>
    <w:rsid w:val="00DE7C13"/>
    <w:rsid w:val="00DE7C3C"/>
    <w:rsid w:val="00DF1834"/>
    <w:rsid w:val="00DF273A"/>
    <w:rsid w:val="00DF2F05"/>
    <w:rsid w:val="00DF2FE2"/>
    <w:rsid w:val="00DF3831"/>
    <w:rsid w:val="00DF4ACE"/>
    <w:rsid w:val="00DF4FC5"/>
    <w:rsid w:val="00DF67CF"/>
    <w:rsid w:val="00DF6F3F"/>
    <w:rsid w:val="00DF7ED6"/>
    <w:rsid w:val="00E003CE"/>
    <w:rsid w:val="00E013D6"/>
    <w:rsid w:val="00E02C1B"/>
    <w:rsid w:val="00E03720"/>
    <w:rsid w:val="00E0383B"/>
    <w:rsid w:val="00E03FE7"/>
    <w:rsid w:val="00E05599"/>
    <w:rsid w:val="00E05C5D"/>
    <w:rsid w:val="00E06964"/>
    <w:rsid w:val="00E06C2D"/>
    <w:rsid w:val="00E0761B"/>
    <w:rsid w:val="00E10732"/>
    <w:rsid w:val="00E10D09"/>
    <w:rsid w:val="00E10D6E"/>
    <w:rsid w:val="00E10EF6"/>
    <w:rsid w:val="00E11036"/>
    <w:rsid w:val="00E11493"/>
    <w:rsid w:val="00E11BD2"/>
    <w:rsid w:val="00E11EE7"/>
    <w:rsid w:val="00E1245E"/>
    <w:rsid w:val="00E144BA"/>
    <w:rsid w:val="00E147B5"/>
    <w:rsid w:val="00E16679"/>
    <w:rsid w:val="00E17E0B"/>
    <w:rsid w:val="00E2031A"/>
    <w:rsid w:val="00E20611"/>
    <w:rsid w:val="00E20DB6"/>
    <w:rsid w:val="00E224CB"/>
    <w:rsid w:val="00E22F9A"/>
    <w:rsid w:val="00E2366F"/>
    <w:rsid w:val="00E23838"/>
    <w:rsid w:val="00E251B8"/>
    <w:rsid w:val="00E25C02"/>
    <w:rsid w:val="00E25C58"/>
    <w:rsid w:val="00E26A6A"/>
    <w:rsid w:val="00E27ED2"/>
    <w:rsid w:val="00E30755"/>
    <w:rsid w:val="00E30F92"/>
    <w:rsid w:val="00E312CF"/>
    <w:rsid w:val="00E314CB"/>
    <w:rsid w:val="00E31998"/>
    <w:rsid w:val="00E31E10"/>
    <w:rsid w:val="00E3297C"/>
    <w:rsid w:val="00E329E7"/>
    <w:rsid w:val="00E32BF2"/>
    <w:rsid w:val="00E331C7"/>
    <w:rsid w:val="00E339B0"/>
    <w:rsid w:val="00E354DD"/>
    <w:rsid w:val="00E3696E"/>
    <w:rsid w:val="00E36BA7"/>
    <w:rsid w:val="00E374E3"/>
    <w:rsid w:val="00E378AB"/>
    <w:rsid w:val="00E379A3"/>
    <w:rsid w:val="00E37DA2"/>
    <w:rsid w:val="00E40424"/>
    <w:rsid w:val="00E40AA1"/>
    <w:rsid w:val="00E40AFB"/>
    <w:rsid w:val="00E459BB"/>
    <w:rsid w:val="00E45A22"/>
    <w:rsid w:val="00E463FC"/>
    <w:rsid w:val="00E4699C"/>
    <w:rsid w:val="00E46BA8"/>
    <w:rsid w:val="00E478AB"/>
    <w:rsid w:val="00E47D18"/>
    <w:rsid w:val="00E50A41"/>
    <w:rsid w:val="00E52FEE"/>
    <w:rsid w:val="00E5326B"/>
    <w:rsid w:val="00E5484C"/>
    <w:rsid w:val="00E5567D"/>
    <w:rsid w:val="00E564B1"/>
    <w:rsid w:val="00E565EE"/>
    <w:rsid w:val="00E56BB2"/>
    <w:rsid w:val="00E601BA"/>
    <w:rsid w:val="00E60493"/>
    <w:rsid w:val="00E62895"/>
    <w:rsid w:val="00E6418D"/>
    <w:rsid w:val="00E6448D"/>
    <w:rsid w:val="00E64CEB"/>
    <w:rsid w:val="00E66A4A"/>
    <w:rsid w:val="00E66B63"/>
    <w:rsid w:val="00E67B68"/>
    <w:rsid w:val="00E70B33"/>
    <w:rsid w:val="00E70D27"/>
    <w:rsid w:val="00E71797"/>
    <w:rsid w:val="00E71C7F"/>
    <w:rsid w:val="00E721BA"/>
    <w:rsid w:val="00E72824"/>
    <w:rsid w:val="00E73CAB"/>
    <w:rsid w:val="00E753D8"/>
    <w:rsid w:val="00E76DF0"/>
    <w:rsid w:val="00E80B57"/>
    <w:rsid w:val="00E813B7"/>
    <w:rsid w:val="00E81762"/>
    <w:rsid w:val="00E8253A"/>
    <w:rsid w:val="00E84071"/>
    <w:rsid w:val="00E84682"/>
    <w:rsid w:val="00E860E6"/>
    <w:rsid w:val="00E86807"/>
    <w:rsid w:val="00E869C6"/>
    <w:rsid w:val="00E87306"/>
    <w:rsid w:val="00E93853"/>
    <w:rsid w:val="00E93A9A"/>
    <w:rsid w:val="00E940D6"/>
    <w:rsid w:val="00E9424B"/>
    <w:rsid w:val="00E949C2"/>
    <w:rsid w:val="00E95063"/>
    <w:rsid w:val="00E9635B"/>
    <w:rsid w:val="00E96B5B"/>
    <w:rsid w:val="00EA0139"/>
    <w:rsid w:val="00EA11C4"/>
    <w:rsid w:val="00EA1E2A"/>
    <w:rsid w:val="00EA20E2"/>
    <w:rsid w:val="00EA26EA"/>
    <w:rsid w:val="00EA27FB"/>
    <w:rsid w:val="00EA2A72"/>
    <w:rsid w:val="00EA30D2"/>
    <w:rsid w:val="00EA3C6E"/>
    <w:rsid w:val="00EA6FED"/>
    <w:rsid w:val="00EB24F0"/>
    <w:rsid w:val="00EB27AB"/>
    <w:rsid w:val="00EB31F0"/>
    <w:rsid w:val="00EB5DBC"/>
    <w:rsid w:val="00EB61BB"/>
    <w:rsid w:val="00EB6738"/>
    <w:rsid w:val="00EB6A3E"/>
    <w:rsid w:val="00EB7A20"/>
    <w:rsid w:val="00EC005D"/>
    <w:rsid w:val="00EC05F4"/>
    <w:rsid w:val="00EC1774"/>
    <w:rsid w:val="00EC1F27"/>
    <w:rsid w:val="00EC2DA7"/>
    <w:rsid w:val="00EC3428"/>
    <w:rsid w:val="00EC37B2"/>
    <w:rsid w:val="00EC40EC"/>
    <w:rsid w:val="00EC4CC1"/>
    <w:rsid w:val="00EC556D"/>
    <w:rsid w:val="00EC569F"/>
    <w:rsid w:val="00EC75DE"/>
    <w:rsid w:val="00EC799E"/>
    <w:rsid w:val="00EC7FC6"/>
    <w:rsid w:val="00ED1080"/>
    <w:rsid w:val="00ED1B87"/>
    <w:rsid w:val="00ED2FDF"/>
    <w:rsid w:val="00ED45A5"/>
    <w:rsid w:val="00ED4BC8"/>
    <w:rsid w:val="00ED6D34"/>
    <w:rsid w:val="00ED73AB"/>
    <w:rsid w:val="00ED7C3F"/>
    <w:rsid w:val="00EE1632"/>
    <w:rsid w:val="00EE1652"/>
    <w:rsid w:val="00EE3483"/>
    <w:rsid w:val="00EE36C1"/>
    <w:rsid w:val="00EE419B"/>
    <w:rsid w:val="00EE43FC"/>
    <w:rsid w:val="00EE4FD4"/>
    <w:rsid w:val="00EE5667"/>
    <w:rsid w:val="00EE66A6"/>
    <w:rsid w:val="00EE7644"/>
    <w:rsid w:val="00EE797B"/>
    <w:rsid w:val="00EE7CFD"/>
    <w:rsid w:val="00EF0362"/>
    <w:rsid w:val="00EF05AC"/>
    <w:rsid w:val="00EF0D97"/>
    <w:rsid w:val="00EF1CB8"/>
    <w:rsid w:val="00EF1D84"/>
    <w:rsid w:val="00EF273D"/>
    <w:rsid w:val="00EF36D6"/>
    <w:rsid w:val="00EF3E7C"/>
    <w:rsid w:val="00EF41BB"/>
    <w:rsid w:val="00EF6059"/>
    <w:rsid w:val="00EF665E"/>
    <w:rsid w:val="00EF6D0F"/>
    <w:rsid w:val="00EF6EFE"/>
    <w:rsid w:val="00EF7161"/>
    <w:rsid w:val="00EF78BC"/>
    <w:rsid w:val="00F009BD"/>
    <w:rsid w:val="00F01FCF"/>
    <w:rsid w:val="00F03196"/>
    <w:rsid w:val="00F037E1"/>
    <w:rsid w:val="00F03AA1"/>
    <w:rsid w:val="00F03D97"/>
    <w:rsid w:val="00F056E6"/>
    <w:rsid w:val="00F060E3"/>
    <w:rsid w:val="00F063CB"/>
    <w:rsid w:val="00F07E3A"/>
    <w:rsid w:val="00F113B7"/>
    <w:rsid w:val="00F117A8"/>
    <w:rsid w:val="00F12CF6"/>
    <w:rsid w:val="00F12DA8"/>
    <w:rsid w:val="00F145BC"/>
    <w:rsid w:val="00F15356"/>
    <w:rsid w:val="00F153B8"/>
    <w:rsid w:val="00F17306"/>
    <w:rsid w:val="00F174B5"/>
    <w:rsid w:val="00F20540"/>
    <w:rsid w:val="00F208DC"/>
    <w:rsid w:val="00F22362"/>
    <w:rsid w:val="00F22ECA"/>
    <w:rsid w:val="00F232B1"/>
    <w:rsid w:val="00F23B3A"/>
    <w:rsid w:val="00F24986"/>
    <w:rsid w:val="00F26E46"/>
    <w:rsid w:val="00F27409"/>
    <w:rsid w:val="00F2763F"/>
    <w:rsid w:val="00F30CBC"/>
    <w:rsid w:val="00F31B06"/>
    <w:rsid w:val="00F32608"/>
    <w:rsid w:val="00F331D4"/>
    <w:rsid w:val="00F34A3C"/>
    <w:rsid w:val="00F3599C"/>
    <w:rsid w:val="00F36671"/>
    <w:rsid w:val="00F36FF0"/>
    <w:rsid w:val="00F3706A"/>
    <w:rsid w:val="00F37CD5"/>
    <w:rsid w:val="00F37D48"/>
    <w:rsid w:val="00F41128"/>
    <w:rsid w:val="00F4297D"/>
    <w:rsid w:val="00F43D2F"/>
    <w:rsid w:val="00F44962"/>
    <w:rsid w:val="00F45648"/>
    <w:rsid w:val="00F45DE8"/>
    <w:rsid w:val="00F460F5"/>
    <w:rsid w:val="00F47384"/>
    <w:rsid w:val="00F473AA"/>
    <w:rsid w:val="00F474FF"/>
    <w:rsid w:val="00F5100B"/>
    <w:rsid w:val="00F51E9F"/>
    <w:rsid w:val="00F53247"/>
    <w:rsid w:val="00F535CF"/>
    <w:rsid w:val="00F541B0"/>
    <w:rsid w:val="00F551E1"/>
    <w:rsid w:val="00F5557A"/>
    <w:rsid w:val="00F55A82"/>
    <w:rsid w:val="00F55E87"/>
    <w:rsid w:val="00F55F21"/>
    <w:rsid w:val="00F562D5"/>
    <w:rsid w:val="00F60318"/>
    <w:rsid w:val="00F60515"/>
    <w:rsid w:val="00F60F8B"/>
    <w:rsid w:val="00F62BDA"/>
    <w:rsid w:val="00F63466"/>
    <w:rsid w:val="00F656EC"/>
    <w:rsid w:val="00F6674D"/>
    <w:rsid w:val="00F700AB"/>
    <w:rsid w:val="00F703CB"/>
    <w:rsid w:val="00F70C78"/>
    <w:rsid w:val="00F71181"/>
    <w:rsid w:val="00F7279F"/>
    <w:rsid w:val="00F728E3"/>
    <w:rsid w:val="00F72FF9"/>
    <w:rsid w:val="00F734F2"/>
    <w:rsid w:val="00F73C61"/>
    <w:rsid w:val="00F74570"/>
    <w:rsid w:val="00F74EB9"/>
    <w:rsid w:val="00F757A0"/>
    <w:rsid w:val="00F8057E"/>
    <w:rsid w:val="00F815AC"/>
    <w:rsid w:val="00F81DA6"/>
    <w:rsid w:val="00F8264F"/>
    <w:rsid w:val="00F8278B"/>
    <w:rsid w:val="00F82B43"/>
    <w:rsid w:val="00F82C98"/>
    <w:rsid w:val="00F85E1E"/>
    <w:rsid w:val="00F87E4E"/>
    <w:rsid w:val="00F9130C"/>
    <w:rsid w:val="00F92516"/>
    <w:rsid w:val="00F929CE"/>
    <w:rsid w:val="00F929EF"/>
    <w:rsid w:val="00F92B3D"/>
    <w:rsid w:val="00F92BD7"/>
    <w:rsid w:val="00F932F9"/>
    <w:rsid w:val="00F9475A"/>
    <w:rsid w:val="00F95137"/>
    <w:rsid w:val="00F965E8"/>
    <w:rsid w:val="00F96DEE"/>
    <w:rsid w:val="00F97511"/>
    <w:rsid w:val="00F97A68"/>
    <w:rsid w:val="00FA03B8"/>
    <w:rsid w:val="00FA1DB6"/>
    <w:rsid w:val="00FA25B7"/>
    <w:rsid w:val="00FA5706"/>
    <w:rsid w:val="00FA5E55"/>
    <w:rsid w:val="00FB06D3"/>
    <w:rsid w:val="00FB13C4"/>
    <w:rsid w:val="00FB191B"/>
    <w:rsid w:val="00FB2586"/>
    <w:rsid w:val="00FB26D3"/>
    <w:rsid w:val="00FB2FC9"/>
    <w:rsid w:val="00FB34FF"/>
    <w:rsid w:val="00FB390E"/>
    <w:rsid w:val="00FB46CC"/>
    <w:rsid w:val="00FB4812"/>
    <w:rsid w:val="00FB58BE"/>
    <w:rsid w:val="00FC20B0"/>
    <w:rsid w:val="00FC37DF"/>
    <w:rsid w:val="00FC3946"/>
    <w:rsid w:val="00FC3DE3"/>
    <w:rsid w:val="00FC3E78"/>
    <w:rsid w:val="00FC4087"/>
    <w:rsid w:val="00FC4695"/>
    <w:rsid w:val="00FC5DE4"/>
    <w:rsid w:val="00FC6A26"/>
    <w:rsid w:val="00FC7CAA"/>
    <w:rsid w:val="00FC7F3F"/>
    <w:rsid w:val="00FD10C3"/>
    <w:rsid w:val="00FD18BE"/>
    <w:rsid w:val="00FD2B26"/>
    <w:rsid w:val="00FD307C"/>
    <w:rsid w:val="00FD371A"/>
    <w:rsid w:val="00FD3762"/>
    <w:rsid w:val="00FD3CB3"/>
    <w:rsid w:val="00FD4331"/>
    <w:rsid w:val="00FD53D3"/>
    <w:rsid w:val="00FD595C"/>
    <w:rsid w:val="00FD6131"/>
    <w:rsid w:val="00FD6189"/>
    <w:rsid w:val="00FD6540"/>
    <w:rsid w:val="00FE1393"/>
    <w:rsid w:val="00FE3B31"/>
    <w:rsid w:val="00FE42F7"/>
    <w:rsid w:val="00FE4896"/>
    <w:rsid w:val="00FE4907"/>
    <w:rsid w:val="00FE493D"/>
    <w:rsid w:val="00FE5183"/>
    <w:rsid w:val="00FE5644"/>
    <w:rsid w:val="00FE56E3"/>
    <w:rsid w:val="00FE76EC"/>
    <w:rsid w:val="00FE77A8"/>
    <w:rsid w:val="00FF0DA6"/>
    <w:rsid w:val="00FF1B80"/>
    <w:rsid w:val="00FF243F"/>
    <w:rsid w:val="00FF26ED"/>
    <w:rsid w:val="00FF2EF0"/>
    <w:rsid w:val="00FF306F"/>
    <w:rsid w:val="00FF4074"/>
    <w:rsid w:val="00FF4261"/>
    <w:rsid w:val="00FF4747"/>
    <w:rsid w:val="00FF5D82"/>
    <w:rsid w:val="00FF65BF"/>
    <w:rsid w:val="00FF787E"/>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uiPriority="99" w:qFormat="1"/>
    <w:lsdException w:name="heading 4" w:uiPriority="99" w:qFormat="1"/>
    <w:lsdException w:name="heading 5" w:uiPriority="99" w:qFormat="1"/>
    <w:lsdException w:name="heading 6" w:uiPriority="99" w:qFormat="1"/>
    <w:lsdException w:name="heading 7" w:qFormat="1"/>
    <w:lsdException w:name="heading 8" w:qFormat="1"/>
    <w:lsdException w:name="heading 9" w:qFormat="1"/>
    <w:lsdException w:name="toc 1" w:uiPriority="9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Body Text Inden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3" w:uiPriority="99"/>
    <w:lsdException w:name="Hyperlink" w:uiPriority="99"/>
    <w:lsdException w:name="FollowedHyperlink" w:uiPriority="99"/>
    <w:lsdException w:name="Strong" w:semiHidden="0" w:unhideWhenUsed="0" w:qFormat="1"/>
    <w:lsdException w:name="Emphasis" w:semiHidden="0" w:uiPriority="99"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semiHidden="0" w:uiPriority="99" w:unhideWhenUsed="0"/>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B34FF"/>
    <w:rPr>
      <w:sz w:val="24"/>
      <w:szCs w:val="24"/>
    </w:rPr>
  </w:style>
  <w:style w:type="paragraph" w:styleId="Titolo1">
    <w:name w:val="heading 1"/>
    <w:basedOn w:val="Normale"/>
    <w:next w:val="Normale"/>
    <w:link w:val="Titolo1Carattere"/>
    <w:uiPriority w:val="99"/>
    <w:qFormat/>
    <w:rsid w:val="00FB34FF"/>
    <w:pPr>
      <w:keepNext/>
      <w:spacing w:after="120"/>
      <w:jc w:val="both"/>
      <w:outlineLvl w:val="0"/>
    </w:pPr>
    <w:rPr>
      <w:rFonts w:ascii="Verdana" w:hAnsi="Verdana"/>
      <w:b/>
      <w:bCs/>
      <w:sz w:val="22"/>
    </w:rPr>
  </w:style>
  <w:style w:type="paragraph" w:styleId="Titolo2">
    <w:name w:val="heading 2"/>
    <w:basedOn w:val="Normale"/>
    <w:link w:val="Titolo2Carattere"/>
    <w:uiPriority w:val="99"/>
    <w:qFormat/>
    <w:rsid w:val="00FB34FF"/>
    <w:pPr>
      <w:spacing w:after="120"/>
      <w:outlineLvl w:val="1"/>
    </w:pPr>
    <w:rPr>
      <w:rFonts w:ascii="Verdana" w:hAnsi="Verdana"/>
      <w:bCs/>
      <w:i/>
      <w:sz w:val="21"/>
      <w:szCs w:val="36"/>
    </w:rPr>
  </w:style>
  <w:style w:type="paragraph" w:styleId="Titolo3">
    <w:name w:val="heading 3"/>
    <w:basedOn w:val="Normale"/>
    <w:link w:val="Titolo3Carattere"/>
    <w:uiPriority w:val="99"/>
    <w:qFormat/>
    <w:rsid w:val="00FB34FF"/>
    <w:pPr>
      <w:spacing w:before="100" w:beforeAutospacing="1" w:after="100" w:afterAutospacing="1"/>
      <w:outlineLvl w:val="2"/>
    </w:pPr>
    <w:rPr>
      <w:b/>
      <w:bCs/>
      <w:sz w:val="27"/>
      <w:szCs w:val="27"/>
    </w:rPr>
  </w:style>
  <w:style w:type="paragraph" w:styleId="Titolo4">
    <w:name w:val="heading 4"/>
    <w:basedOn w:val="Normale"/>
    <w:next w:val="Normale"/>
    <w:link w:val="Titolo4Carattere"/>
    <w:uiPriority w:val="99"/>
    <w:qFormat/>
    <w:rsid w:val="0007346F"/>
    <w:pPr>
      <w:keepNext/>
      <w:jc w:val="center"/>
      <w:outlineLvl w:val="3"/>
    </w:pPr>
    <w:rPr>
      <w:rFonts w:ascii="Calibri" w:hAnsi="Calibri"/>
      <w:b/>
      <w:bCs/>
      <w:sz w:val="28"/>
      <w:szCs w:val="28"/>
    </w:rPr>
  </w:style>
  <w:style w:type="paragraph" w:styleId="Titolo5">
    <w:name w:val="heading 5"/>
    <w:basedOn w:val="Normale"/>
    <w:next w:val="Normale"/>
    <w:link w:val="Titolo5Carattere"/>
    <w:uiPriority w:val="99"/>
    <w:unhideWhenUsed/>
    <w:qFormat/>
    <w:rsid w:val="0007346F"/>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9"/>
    <w:qFormat/>
    <w:rsid w:val="00FB34FF"/>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FB34FF"/>
    <w:pPr>
      <w:spacing w:before="100" w:beforeAutospacing="1" w:after="100" w:afterAutospacing="1"/>
    </w:pPr>
  </w:style>
  <w:style w:type="paragraph" w:styleId="Intestazione">
    <w:name w:val="header"/>
    <w:basedOn w:val="Normale"/>
    <w:link w:val="IntestazioneCarattere"/>
    <w:uiPriority w:val="99"/>
    <w:rsid w:val="00FB34FF"/>
    <w:pPr>
      <w:tabs>
        <w:tab w:val="center" w:pos="4819"/>
        <w:tab w:val="right" w:pos="9638"/>
      </w:tabs>
      <w:jc w:val="both"/>
    </w:pPr>
    <w:rPr>
      <w:rFonts w:ascii="Garamond" w:hAnsi="Garamond"/>
      <w:sz w:val="28"/>
    </w:rPr>
  </w:style>
  <w:style w:type="paragraph" w:styleId="Pidipagina">
    <w:name w:val="footer"/>
    <w:basedOn w:val="Normale"/>
    <w:link w:val="PidipaginaCarattere"/>
    <w:uiPriority w:val="99"/>
    <w:rsid w:val="00FB34FF"/>
    <w:pPr>
      <w:tabs>
        <w:tab w:val="center" w:pos="4819"/>
        <w:tab w:val="right" w:pos="9638"/>
      </w:tabs>
      <w:jc w:val="both"/>
    </w:pPr>
    <w:rPr>
      <w:rFonts w:ascii="Garamond" w:hAnsi="Garamond"/>
      <w:sz w:val="28"/>
    </w:rPr>
  </w:style>
  <w:style w:type="character" w:styleId="Numeropagina">
    <w:name w:val="page number"/>
    <w:basedOn w:val="Carpredefinitoparagrafo"/>
    <w:uiPriority w:val="99"/>
    <w:rsid w:val="00FB34FF"/>
  </w:style>
  <w:style w:type="paragraph" w:styleId="Testonotaapidipagina">
    <w:name w:val="footnote text"/>
    <w:basedOn w:val="Normale"/>
    <w:link w:val="TestonotaapidipaginaCarattere"/>
    <w:uiPriority w:val="99"/>
    <w:rsid w:val="00FB34FF"/>
    <w:rPr>
      <w:sz w:val="20"/>
      <w:szCs w:val="20"/>
    </w:rPr>
  </w:style>
  <w:style w:type="character" w:styleId="Rimandonotaapidipagina">
    <w:name w:val="footnote reference"/>
    <w:uiPriority w:val="99"/>
    <w:rsid w:val="00FB34FF"/>
    <w:rPr>
      <w:vertAlign w:val="superscript"/>
    </w:rPr>
  </w:style>
  <w:style w:type="paragraph" w:customStyle="1" w:styleId="vedianche">
    <w:name w:val="vedianche"/>
    <w:basedOn w:val="Normale"/>
    <w:rsid w:val="00FB34FF"/>
    <w:pPr>
      <w:spacing w:before="100" w:beforeAutospacing="1" w:after="100" w:afterAutospacing="1"/>
    </w:pPr>
  </w:style>
  <w:style w:type="character" w:styleId="Collegamentoipertestuale">
    <w:name w:val="Hyperlink"/>
    <w:uiPriority w:val="99"/>
    <w:rsid w:val="00FB34FF"/>
    <w:rPr>
      <w:color w:val="0000FF"/>
      <w:u w:val="single"/>
    </w:rPr>
  </w:style>
  <w:style w:type="paragraph" w:styleId="Rientrocorpodeltesto">
    <w:name w:val="Body Text Indent"/>
    <w:basedOn w:val="Normale"/>
    <w:link w:val="RientrocorpodeltestoCarattere"/>
    <w:uiPriority w:val="99"/>
    <w:rsid w:val="00FB34FF"/>
    <w:pPr>
      <w:spacing w:after="120"/>
      <w:ind w:left="283"/>
      <w:jc w:val="both"/>
    </w:pPr>
    <w:rPr>
      <w:rFonts w:ascii="Verdana" w:hAnsi="Verdana"/>
      <w:sz w:val="22"/>
    </w:rPr>
  </w:style>
  <w:style w:type="paragraph" w:styleId="Corpotesto">
    <w:name w:val="Body Text"/>
    <w:basedOn w:val="Normale"/>
    <w:link w:val="CorpotestoCarattere"/>
    <w:uiPriority w:val="99"/>
    <w:rsid w:val="00FB34FF"/>
    <w:pPr>
      <w:spacing w:line="360" w:lineRule="auto"/>
    </w:pPr>
    <w:rPr>
      <w:rFonts w:ascii="Arial" w:hAnsi="Arial" w:cs="Arial"/>
      <w:b/>
      <w:bCs/>
      <w:szCs w:val="23"/>
    </w:rPr>
  </w:style>
  <w:style w:type="character" w:customStyle="1" w:styleId="apple-style-span">
    <w:name w:val="apple-style-span"/>
    <w:basedOn w:val="Carpredefinitoparagrafo"/>
    <w:rsid w:val="00FB34FF"/>
  </w:style>
  <w:style w:type="paragraph" w:styleId="Corpodeltesto2">
    <w:name w:val="Body Text 2"/>
    <w:basedOn w:val="Normale"/>
    <w:rsid w:val="00FB34FF"/>
    <w:pPr>
      <w:spacing w:after="80" w:line="360" w:lineRule="auto"/>
      <w:jc w:val="both"/>
    </w:pPr>
    <w:rPr>
      <w:rFonts w:ascii="Arial" w:hAnsi="Arial" w:cs="Arial"/>
      <w:sz w:val="23"/>
      <w:szCs w:val="23"/>
    </w:rPr>
  </w:style>
  <w:style w:type="character" w:customStyle="1" w:styleId="apple-converted-space">
    <w:name w:val="apple-converted-space"/>
    <w:basedOn w:val="Carpredefinitoparagrafo"/>
    <w:rsid w:val="00FB34FF"/>
  </w:style>
  <w:style w:type="paragraph" w:styleId="Rientrocorpodeltesto2">
    <w:name w:val="Body Text Indent 2"/>
    <w:basedOn w:val="Normale"/>
    <w:rsid w:val="00FB34FF"/>
    <w:pPr>
      <w:spacing w:after="120"/>
      <w:ind w:left="360"/>
      <w:jc w:val="both"/>
    </w:pPr>
    <w:rPr>
      <w:rFonts w:ascii="Arial" w:hAnsi="Arial" w:cs="Arial"/>
      <w:sz w:val="23"/>
      <w:szCs w:val="23"/>
    </w:rPr>
  </w:style>
  <w:style w:type="paragraph" w:styleId="Rientrocorpodeltesto3">
    <w:name w:val="Body Text Indent 3"/>
    <w:basedOn w:val="Normale"/>
    <w:rsid w:val="00FB34FF"/>
    <w:pPr>
      <w:spacing w:after="120"/>
      <w:ind w:left="540"/>
      <w:jc w:val="both"/>
    </w:pPr>
    <w:rPr>
      <w:rFonts w:ascii="Arial" w:hAnsi="Arial" w:cs="Arial"/>
      <w:sz w:val="23"/>
      <w:szCs w:val="23"/>
    </w:rPr>
  </w:style>
  <w:style w:type="character" w:styleId="Enfasigrassetto">
    <w:name w:val="Strong"/>
    <w:qFormat/>
    <w:rsid w:val="00FB34FF"/>
    <w:rPr>
      <w:b/>
      <w:bCs/>
    </w:rPr>
  </w:style>
  <w:style w:type="character" w:styleId="Enfasicorsivo">
    <w:name w:val="Emphasis"/>
    <w:uiPriority w:val="99"/>
    <w:qFormat/>
    <w:rsid w:val="00FB34FF"/>
    <w:rPr>
      <w:i/>
      <w:iCs/>
    </w:rPr>
  </w:style>
  <w:style w:type="paragraph" w:styleId="Testonormale">
    <w:name w:val="Plain Text"/>
    <w:basedOn w:val="Normale"/>
    <w:link w:val="TestonormaleCarattere"/>
    <w:uiPriority w:val="99"/>
    <w:rsid w:val="00FB34FF"/>
    <w:rPr>
      <w:rFonts w:ascii="Courier New" w:hAnsi="Courier New" w:cs="Courier New"/>
      <w:sz w:val="20"/>
      <w:szCs w:val="20"/>
    </w:rPr>
  </w:style>
  <w:style w:type="paragraph" w:styleId="Corpodeltesto3">
    <w:name w:val="Body Text 3"/>
    <w:basedOn w:val="Normale"/>
    <w:link w:val="Corpodeltesto3Carattere"/>
    <w:uiPriority w:val="99"/>
    <w:rsid w:val="00FB34FF"/>
    <w:pPr>
      <w:spacing w:after="120"/>
    </w:pPr>
    <w:rPr>
      <w:sz w:val="16"/>
      <w:szCs w:val="16"/>
    </w:rPr>
  </w:style>
  <w:style w:type="paragraph" w:customStyle="1" w:styleId="TAVOLARapann">
    <w:name w:val="TAVOLA Rapann"/>
    <w:next w:val="Normale"/>
    <w:link w:val="TAVOLARapannCarattere"/>
    <w:rsid w:val="00FB34FF"/>
    <w:pPr>
      <w:tabs>
        <w:tab w:val="left" w:pos="1276"/>
      </w:tabs>
      <w:spacing w:line="200" w:lineRule="exact"/>
      <w:ind w:left="1276" w:hanging="1276"/>
      <w:jc w:val="both"/>
    </w:pPr>
    <w:rPr>
      <w:rFonts w:ascii="Arial" w:hAnsi="Arial"/>
      <w:b/>
      <w:bCs/>
      <w:sz w:val="18"/>
    </w:rPr>
  </w:style>
  <w:style w:type="character" w:customStyle="1" w:styleId="TAVOLARapannCarattere">
    <w:name w:val="TAVOLA Rapann Carattere"/>
    <w:link w:val="TAVOLARapann"/>
    <w:rsid w:val="00FB34FF"/>
    <w:rPr>
      <w:rFonts w:ascii="Arial" w:hAnsi="Arial"/>
      <w:b/>
      <w:bCs/>
      <w:sz w:val="18"/>
      <w:lang w:val="it-IT" w:eastAsia="it-IT" w:bidi="ar-SA"/>
    </w:rPr>
  </w:style>
  <w:style w:type="paragraph" w:customStyle="1" w:styleId="tesina">
    <w:name w:val="tesina"/>
    <w:basedOn w:val="Normale"/>
    <w:rsid w:val="00FB34FF"/>
    <w:pPr>
      <w:widowControl w:val="0"/>
      <w:autoSpaceDE w:val="0"/>
      <w:autoSpaceDN w:val="0"/>
      <w:adjustRightInd w:val="0"/>
      <w:spacing w:line="285" w:lineRule="atLeast"/>
      <w:ind w:left="390" w:right="390"/>
      <w:jc w:val="both"/>
    </w:pPr>
  </w:style>
  <w:style w:type="paragraph" w:customStyle="1" w:styleId="desc">
    <w:name w:val="desc"/>
    <w:basedOn w:val="Normale"/>
    <w:rsid w:val="00FB34FF"/>
    <w:pPr>
      <w:spacing w:before="100" w:beforeAutospacing="1" w:after="100" w:afterAutospacing="1"/>
    </w:pPr>
  </w:style>
  <w:style w:type="character" w:customStyle="1" w:styleId="glossario">
    <w:name w:val="glossario"/>
    <w:basedOn w:val="Carpredefinitoparagrafo"/>
    <w:rsid w:val="00FB34FF"/>
  </w:style>
  <w:style w:type="paragraph" w:styleId="Testofumetto">
    <w:name w:val="Balloon Text"/>
    <w:basedOn w:val="Normale"/>
    <w:link w:val="TestofumettoCarattere"/>
    <w:uiPriority w:val="99"/>
    <w:rsid w:val="00B506F1"/>
    <w:rPr>
      <w:rFonts w:ascii="Tahoma" w:hAnsi="Tahoma"/>
      <w:sz w:val="16"/>
      <w:szCs w:val="16"/>
      <w:lang w:val="x-none" w:eastAsia="x-none"/>
    </w:rPr>
  </w:style>
  <w:style w:type="character" w:customStyle="1" w:styleId="TestofumettoCarattere">
    <w:name w:val="Testo fumetto Carattere"/>
    <w:link w:val="Testofumetto"/>
    <w:uiPriority w:val="99"/>
    <w:rsid w:val="00B506F1"/>
    <w:rPr>
      <w:rFonts w:ascii="Tahoma" w:hAnsi="Tahoma" w:cs="Tahoma"/>
      <w:sz w:val="16"/>
      <w:szCs w:val="16"/>
    </w:rPr>
  </w:style>
  <w:style w:type="character" w:styleId="Rimandocommento">
    <w:name w:val="annotation reference"/>
    <w:uiPriority w:val="99"/>
    <w:rsid w:val="002A2D78"/>
    <w:rPr>
      <w:sz w:val="16"/>
      <w:szCs w:val="16"/>
    </w:rPr>
  </w:style>
  <w:style w:type="paragraph" w:styleId="Testocommento">
    <w:name w:val="annotation text"/>
    <w:basedOn w:val="Normale"/>
    <w:link w:val="TestocommentoCarattere"/>
    <w:uiPriority w:val="99"/>
    <w:rsid w:val="002A2D78"/>
    <w:rPr>
      <w:sz w:val="20"/>
      <w:szCs w:val="20"/>
    </w:rPr>
  </w:style>
  <w:style w:type="character" w:customStyle="1" w:styleId="TestocommentoCarattere">
    <w:name w:val="Testo commento Carattere"/>
    <w:basedOn w:val="Carpredefinitoparagrafo"/>
    <w:link w:val="Testocommento"/>
    <w:uiPriority w:val="99"/>
    <w:rsid w:val="002A2D78"/>
  </w:style>
  <w:style w:type="paragraph" w:styleId="Soggettocommento">
    <w:name w:val="annotation subject"/>
    <w:basedOn w:val="Testocommento"/>
    <w:next w:val="Testocommento"/>
    <w:link w:val="SoggettocommentoCarattere"/>
    <w:uiPriority w:val="99"/>
    <w:rsid w:val="002A2D78"/>
    <w:rPr>
      <w:b/>
      <w:bCs/>
    </w:rPr>
  </w:style>
  <w:style w:type="character" w:customStyle="1" w:styleId="SoggettocommentoCarattere">
    <w:name w:val="Soggetto commento Carattere"/>
    <w:link w:val="Soggettocommento"/>
    <w:uiPriority w:val="99"/>
    <w:rsid w:val="002A2D78"/>
    <w:rPr>
      <w:b/>
      <w:bCs/>
    </w:rPr>
  </w:style>
  <w:style w:type="paragraph" w:styleId="Paragrafoelenco">
    <w:name w:val="List Paragraph"/>
    <w:basedOn w:val="Normale"/>
    <w:uiPriority w:val="99"/>
    <w:qFormat/>
    <w:rsid w:val="009C4DFF"/>
    <w:pPr>
      <w:ind w:left="720"/>
      <w:contextualSpacing/>
    </w:pPr>
  </w:style>
  <w:style w:type="character" w:customStyle="1" w:styleId="PidipaginaCarattere">
    <w:name w:val="Piè di pagina Carattere"/>
    <w:basedOn w:val="Carpredefinitoparagrafo"/>
    <w:link w:val="Pidipagina"/>
    <w:uiPriority w:val="99"/>
    <w:rsid w:val="00CC37A8"/>
    <w:rPr>
      <w:rFonts w:ascii="Garamond" w:hAnsi="Garamond"/>
      <w:sz w:val="28"/>
      <w:szCs w:val="24"/>
    </w:rPr>
  </w:style>
  <w:style w:type="character" w:customStyle="1" w:styleId="mw-headline">
    <w:name w:val="mw-headline"/>
    <w:basedOn w:val="Carpredefinitoparagrafo"/>
    <w:rsid w:val="00CF66EE"/>
  </w:style>
  <w:style w:type="table" w:styleId="Grigliatabella">
    <w:name w:val="Table Grid"/>
    <w:basedOn w:val="Tabellanormale"/>
    <w:uiPriority w:val="99"/>
    <w:rsid w:val="00614E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AB47ED"/>
    <w:rPr>
      <w:sz w:val="24"/>
      <w:szCs w:val="24"/>
    </w:rPr>
  </w:style>
  <w:style w:type="character" w:customStyle="1" w:styleId="IntestazioneCarattere">
    <w:name w:val="Intestazione Carattere"/>
    <w:basedOn w:val="Carpredefinitoparagrafo"/>
    <w:link w:val="Intestazione"/>
    <w:uiPriority w:val="99"/>
    <w:rsid w:val="00DF2FE2"/>
    <w:rPr>
      <w:rFonts w:ascii="Garamond" w:hAnsi="Garamond"/>
      <w:sz w:val="28"/>
      <w:szCs w:val="24"/>
    </w:rPr>
  </w:style>
  <w:style w:type="character" w:customStyle="1" w:styleId="TestonotaapidipaginaCarattere">
    <w:name w:val="Testo nota a piè di pagina Carattere"/>
    <w:basedOn w:val="Carpredefinitoparagrafo"/>
    <w:link w:val="Testonotaapidipagina"/>
    <w:uiPriority w:val="99"/>
    <w:rsid w:val="00DD1259"/>
  </w:style>
  <w:style w:type="paragraph" w:styleId="Testonotadichiusura">
    <w:name w:val="endnote text"/>
    <w:basedOn w:val="Normale"/>
    <w:link w:val="TestonotadichiusuraCarattere"/>
    <w:semiHidden/>
    <w:unhideWhenUsed/>
    <w:rsid w:val="00C91EBC"/>
    <w:rPr>
      <w:sz w:val="20"/>
      <w:szCs w:val="20"/>
    </w:rPr>
  </w:style>
  <w:style w:type="character" w:customStyle="1" w:styleId="TestonotadichiusuraCarattere">
    <w:name w:val="Testo nota di chiusura Carattere"/>
    <w:basedOn w:val="Carpredefinitoparagrafo"/>
    <w:link w:val="Testonotadichiusura"/>
    <w:semiHidden/>
    <w:rsid w:val="00C91EBC"/>
  </w:style>
  <w:style w:type="character" w:styleId="Rimandonotadichiusura">
    <w:name w:val="endnote reference"/>
    <w:basedOn w:val="Carpredefinitoparagrafo"/>
    <w:uiPriority w:val="99"/>
    <w:semiHidden/>
    <w:unhideWhenUsed/>
    <w:rsid w:val="00C91EBC"/>
    <w:rPr>
      <w:vertAlign w:val="superscript"/>
    </w:rPr>
  </w:style>
  <w:style w:type="paragraph" w:customStyle="1" w:styleId="Default">
    <w:name w:val="Default"/>
    <w:rsid w:val="00A2532B"/>
    <w:pPr>
      <w:autoSpaceDE w:val="0"/>
      <w:autoSpaceDN w:val="0"/>
      <w:adjustRightInd w:val="0"/>
    </w:pPr>
    <w:rPr>
      <w:color w:val="000000"/>
      <w:sz w:val="24"/>
      <w:szCs w:val="24"/>
    </w:rPr>
  </w:style>
  <w:style w:type="character" w:customStyle="1" w:styleId="Titolo5Carattere">
    <w:name w:val="Titolo 5 Carattere"/>
    <w:basedOn w:val="Carpredefinitoparagrafo"/>
    <w:link w:val="Titolo5"/>
    <w:uiPriority w:val="99"/>
    <w:semiHidden/>
    <w:rsid w:val="0007346F"/>
    <w:rPr>
      <w:rFonts w:asciiTheme="majorHAnsi" w:eastAsiaTheme="majorEastAsia" w:hAnsiTheme="majorHAnsi" w:cstheme="majorBidi"/>
      <w:color w:val="243F60" w:themeColor="accent1" w:themeShade="7F"/>
      <w:sz w:val="24"/>
      <w:szCs w:val="24"/>
    </w:rPr>
  </w:style>
  <w:style w:type="character" w:customStyle="1" w:styleId="Titolo4Carattere">
    <w:name w:val="Titolo 4 Carattere"/>
    <w:basedOn w:val="Carpredefinitoparagrafo"/>
    <w:link w:val="Titolo4"/>
    <w:uiPriority w:val="99"/>
    <w:rsid w:val="0007346F"/>
    <w:rPr>
      <w:rFonts w:ascii="Calibri" w:hAnsi="Calibri"/>
      <w:b/>
      <w:bCs/>
      <w:sz w:val="28"/>
      <w:szCs w:val="28"/>
    </w:rPr>
  </w:style>
  <w:style w:type="character" w:customStyle="1" w:styleId="Titolo1Carattere">
    <w:name w:val="Titolo 1 Carattere"/>
    <w:basedOn w:val="Carpredefinitoparagrafo"/>
    <w:link w:val="Titolo1"/>
    <w:uiPriority w:val="99"/>
    <w:locked/>
    <w:rsid w:val="0007346F"/>
    <w:rPr>
      <w:rFonts w:ascii="Verdana" w:hAnsi="Verdana"/>
      <w:b/>
      <w:bCs/>
      <w:sz w:val="22"/>
      <w:szCs w:val="24"/>
    </w:rPr>
  </w:style>
  <w:style w:type="character" w:customStyle="1" w:styleId="Titolo2Carattere">
    <w:name w:val="Titolo 2 Carattere"/>
    <w:basedOn w:val="Carpredefinitoparagrafo"/>
    <w:link w:val="Titolo2"/>
    <w:uiPriority w:val="99"/>
    <w:locked/>
    <w:rsid w:val="0007346F"/>
    <w:rPr>
      <w:rFonts w:ascii="Verdana" w:hAnsi="Verdana"/>
      <w:bCs/>
      <w:i/>
      <w:sz w:val="21"/>
      <w:szCs w:val="36"/>
    </w:rPr>
  </w:style>
  <w:style w:type="character" w:customStyle="1" w:styleId="Titolo3Carattere">
    <w:name w:val="Titolo 3 Carattere"/>
    <w:basedOn w:val="Carpredefinitoparagrafo"/>
    <w:link w:val="Titolo3"/>
    <w:uiPriority w:val="99"/>
    <w:locked/>
    <w:rsid w:val="0007346F"/>
    <w:rPr>
      <w:b/>
      <w:bCs/>
      <w:sz w:val="27"/>
      <w:szCs w:val="27"/>
    </w:rPr>
  </w:style>
  <w:style w:type="character" w:customStyle="1" w:styleId="Titolo6Carattere">
    <w:name w:val="Titolo 6 Carattere"/>
    <w:basedOn w:val="Carpredefinitoparagrafo"/>
    <w:link w:val="Titolo6"/>
    <w:uiPriority w:val="99"/>
    <w:locked/>
    <w:rsid w:val="0007346F"/>
    <w:rPr>
      <w:b/>
      <w:bCs/>
      <w:sz w:val="22"/>
      <w:szCs w:val="22"/>
    </w:rPr>
  </w:style>
  <w:style w:type="character" w:customStyle="1" w:styleId="CorpotestoCarattere">
    <w:name w:val="Corpo testo Carattere"/>
    <w:basedOn w:val="Carpredefinitoparagrafo"/>
    <w:link w:val="Corpotesto"/>
    <w:uiPriority w:val="99"/>
    <w:locked/>
    <w:rsid w:val="0007346F"/>
    <w:rPr>
      <w:rFonts w:ascii="Arial" w:hAnsi="Arial" w:cs="Arial"/>
      <w:b/>
      <w:bCs/>
      <w:sz w:val="24"/>
      <w:szCs w:val="23"/>
    </w:rPr>
  </w:style>
  <w:style w:type="character" w:customStyle="1" w:styleId="Corpodeltesto3Carattere">
    <w:name w:val="Corpo del testo 3 Carattere"/>
    <w:basedOn w:val="Carpredefinitoparagrafo"/>
    <w:link w:val="Corpodeltesto3"/>
    <w:uiPriority w:val="99"/>
    <w:locked/>
    <w:rsid w:val="0007346F"/>
    <w:rPr>
      <w:sz w:val="16"/>
      <w:szCs w:val="16"/>
    </w:rPr>
  </w:style>
  <w:style w:type="paragraph" w:styleId="Mappadocumento">
    <w:name w:val="Document Map"/>
    <w:basedOn w:val="Normale"/>
    <w:link w:val="MappadocumentoCarattere"/>
    <w:uiPriority w:val="99"/>
    <w:semiHidden/>
    <w:rsid w:val="0007346F"/>
    <w:pPr>
      <w:shd w:val="clear" w:color="auto" w:fill="000080"/>
    </w:pPr>
    <w:rPr>
      <w:sz w:val="2"/>
      <w:szCs w:val="2"/>
    </w:rPr>
  </w:style>
  <w:style w:type="character" w:customStyle="1" w:styleId="MappadocumentoCarattere">
    <w:name w:val="Mappa documento Carattere"/>
    <w:basedOn w:val="Carpredefinitoparagrafo"/>
    <w:link w:val="Mappadocumento"/>
    <w:uiPriority w:val="99"/>
    <w:semiHidden/>
    <w:rsid w:val="0007346F"/>
    <w:rPr>
      <w:sz w:val="2"/>
      <w:szCs w:val="2"/>
      <w:shd w:val="clear" w:color="auto" w:fill="000080"/>
    </w:rPr>
  </w:style>
  <w:style w:type="character" w:customStyle="1" w:styleId="RientrocorpodeltestoCarattere">
    <w:name w:val="Rientro corpo del testo Carattere"/>
    <w:basedOn w:val="Carpredefinitoparagrafo"/>
    <w:link w:val="Rientrocorpodeltesto"/>
    <w:uiPriority w:val="99"/>
    <w:locked/>
    <w:rsid w:val="0007346F"/>
    <w:rPr>
      <w:rFonts w:ascii="Verdana" w:hAnsi="Verdana"/>
      <w:sz w:val="22"/>
      <w:szCs w:val="24"/>
    </w:rPr>
  </w:style>
  <w:style w:type="paragraph" w:customStyle="1" w:styleId="Comunicato">
    <w:name w:val="Comunicato"/>
    <w:basedOn w:val="Normale"/>
    <w:link w:val="ComunicatoCarattere"/>
    <w:uiPriority w:val="99"/>
    <w:rsid w:val="0007346F"/>
    <w:pPr>
      <w:jc w:val="both"/>
    </w:pPr>
    <w:rPr>
      <w:sz w:val="23"/>
      <w:szCs w:val="20"/>
    </w:rPr>
  </w:style>
  <w:style w:type="character" w:customStyle="1" w:styleId="ComunicatoCarattere">
    <w:name w:val="Comunicato Carattere"/>
    <w:link w:val="Comunicato"/>
    <w:uiPriority w:val="99"/>
    <w:locked/>
    <w:rsid w:val="0007346F"/>
    <w:rPr>
      <w:sz w:val="23"/>
    </w:rPr>
  </w:style>
  <w:style w:type="paragraph" w:styleId="Sommario1">
    <w:name w:val="toc 1"/>
    <w:basedOn w:val="Normale"/>
    <w:next w:val="Normale"/>
    <w:autoRedefine/>
    <w:uiPriority w:val="99"/>
    <w:semiHidden/>
    <w:rsid w:val="0007346F"/>
    <w:pPr>
      <w:tabs>
        <w:tab w:val="right" w:leader="dot" w:pos="9060"/>
      </w:tabs>
      <w:spacing w:before="40" w:after="80"/>
    </w:pPr>
    <w:rPr>
      <w:rFonts w:ascii="Verdana" w:hAnsi="Verdana" w:cs="Verdana"/>
      <w:i/>
      <w:iCs/>
      <w:noProof/>
      <w:color w:val="800000"/>
      <w:sz w:val="18"/>
      <w:szCs w:val="18"/>
    </w:rPr>
  </w:style>
  <w:style w:type="character" w:customStyle="1" w:styleId="TestonormaleCarattere">
    <w:name w:val="Testo normale Carattere"/>
    <w:basedOn w:val="Carpredefinitoparagrafo"/>
    <w:link w:val="Testonormale"/>
    <w:uiPriority w:val="99"/>
    <w:locked/>
    <w:rsid w:val="0007346F"/>
    <w:rPr>
      <w:rFonts w:ascii="Courier New" w:hAnsi="Courier New" w:cs="Courier New"/>
    </w:rPr>
  </w:style>
  <w:style w:type="character" w:customStyle="1" w:styleId="CarattereCarattere9">
    <w:name w:val="Carattere Carattere9"/>
    <w:uiPriority w:val="99"/>
    <w:semiHidden/>
    <w:locked/>
    <w:rsid w:val="0007346F"/>
    <w:rPr>
      <w:sz w:val="20"/>
    </w:rPr>
  </w:style>
  <w:style w:type="character" w:styleId="Collegamentovisitato">
    <w:name w:val="FollowedHyperlink"/>
    <w:basedOn w:val="Carpredefinitoparagrafo"/>
    <w:uiPriority w:val="99"/>
    <w:semiHidden/>
    <w:unhideWhenUsed/>
    <w:rsid w:val="0007346F"/>
    <w:rPr>
      <w:color w:val="800080" w:themeColor="followedHyperlink"/>
      <w:u w:val="single"/>
    </w:rPr>
  </w:style>
  <w:style w:type="table" w:styleId="Sfondochiaro-Colore2">
    <w:name w:val="Light Shading Accent 2"/>
    <w:basedOn w:val="Tabellanormale"/>
    <w:uiPriority w:val="60"/>
    <w:rsid w:val="00695F6B"/>
    <w:rPr>
      <w:rFonts w:asciiTheme="minorHAnsi" w:eastAsiaTheme="minorEastAsia" w:hAnsiTheme="minorHAnsi"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00TitoGra1">
    <w:name w:val="00TitoGra1"/>
    <w:basedOn w:val="Normale"/>
    <w:qFormat/>
    <w:rsid w:val="0038412A"/>
    <w:pPr>
      <w:widowControl w:val="0"/>
      <w:overflowPunct w:val="0"/>
      <w:autoSpaceDE w:val="0"/>
      <w:autoSpaceDN w:val="0"/>
      <w:adjustRightInd w:val="0"/>
      <w:spacing w:line="280" w:lineRule="exact"/>
    </w:pPr>
    <w:rPr>
      <w:rFonts w:ascii="Calibri" w:hAnsi="Calibri" w:cs="Arial"/>
      <w:b/>
      <w:color w:val="D90B13"/>
      <w:kern w:val="28"/>
      <w:sz w:val="28"/>
      <w:szCs w:val="28"/>
    </w:rPr>
  </w:style>
  <w:style w:type="paragraph" w:styleId="Nessunaspaziatura">
    <w:name w:val="No Spacing"/>
    <w:uiPriority w:val="1"/>
    <w:qFormat/>
    <w:rsid w:val="00A549BF"/>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uiPriority="99" w:qFormat="1"/>
    <w:lsdException w:name="heading 4" w:uiPriority="99" w:qFormat="1"/>
    <w:lsdException w:name="heading 5" w:uiPriority="99" w:qFormat="1"/>
    <w:lsdException w:name="heading 6" w:uiPriority="99" w:qFormat="1"/>
    <w:lsdException w:name="heading 7" w:qFormat="1"/>
    <w:lsdException w:name="heading 8" w:qFormat="1"/>
    <w:lsdException w:name="heading 9" w:qFormat="1"/>
    <w:lsdException w:name="toc 1" w:uiPriority="9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Body Text Inden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3" w:uiPriority="99"/>
    <w:lsdException w:name="Hyperlink" w:uiPriority="99"/>
    <w:lsdException w:name="FollowedHyperlink" w:uiPriority="99"/>
    <w:lsdException w:name="Strong" w:semiHidden="0" w:unhideWhenUsed="0" w:qFormat="1"/>
    <w:lsdException w:name="Emphasis" w:semiHidden="0" w:uiPriority="99"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semiHidden="0" w:uiPriority="99" w:unhideWhenUsed="0"/>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B34FF"/>
    <w:rPr>
      <w:sz w:val="24"/>
      <w:szCs w:val="24"/>
    </w:rPr>
  </w:style>
  <w:style w:type="paragraph" w:styleId="Titolo1">
    <w:name w:val="heading 1"/>
    <w:basedOn w:val="Normale"/>
    <w:next w:val="Normale"/>
    <w:link w:val="Titolo1Carattere"/>
    <w:uiPriority w:val="99"/>
    <w:qFormat/>
    <w:rsid w:val="00FB34FF"/>
    <w:pPr>
      <w:keepNext/>
      <w:spacing w:after="120"/>
      <w:jc w:val="both"/>
      <w:outlineLvl w:val="0"/>
    </w:pPr>
    <w:rPr>
      <w:rFonts w:ascii="Verdana" w:hAnsi="Verdana"/>
      <w:b/>
      <w:bCs/>
      <w:sz w:val="22"/>
    </w:rPr>
  </w:style>
  <w:style w:type="paragraph" w:styleId="Titolo2">
    <w:name w:val="heading 2"/>
    <w:basedOn w:val="Normale"/>
    <w:link w:val="Titolo2Carattere"/>
    <w:uiPriority w:val="99"/>
    <w:qFormat/>
    <w:rsid w:val="00FB34FF"/>
    <w:pPr>
      <w:spacing w:after="120"/>
      <w:outlineLvl w:val="1"/>
    </w:pPr>
    <w:rPr>
      <w:rFonts w:ascii="Verdana" w:hAnsi="Verdana"/>
      <w:bCs/>
      <w:i/>
      <w:sz w:val="21"/>
      <w:szCs w:val="36"/>
    </w:rPr>
  </w:style>
  <w:style w:type="paragraph" w:styleId="Titolo3">
    <w:name w:val="heading 3"/>
    <w:basedOn w:val="Normale"/>
    <w:link w:val="Titolo3Carattere"/>
    <w:uiPriority w:val="99"/>
    <w:qFormat/>
    <w:rsid w:val="00FB34FF"/>
    <w:pPr>
      <w:spacing w:before="100" w:beforeAutospacing="1" w:after="100" w:afterAutospacing="1"/>
      <w:outlineLvl w:val="2"/>
    </w:pPr>
    <w:rPr>
      <w:b/>
      <w:bCs/>
      <w:sz w:val="27"/>
      <w:szCs w:val="27"/>
    </w:rPr>
  </w:style>
  <w:style w:type="paragraph" w:styleId="Titolo4">
    <w:name w:val="heading 4"/>
    <w:basedOn w:val="Normale"/>
    <w:next w:val="Normale"/>
    <w:link w:val="Titolo4Carattere"/>
    <w:uiPriority w:val="99"/>
    <w:qFormat/>
    <w:rsid w:val="0007346F"/>
    <w:pPr>
      <w:keepNext/>
      <w:jc w:val="center"/>
      <w:outlineLvl w:val="3"/>
    </w:pPr>
    <w:rPr>
      <w:rFonts w:ascii="Calibri" w:hAnsi="Calibri"/>
      <w:b/>
      <w:bCs/>
      <w:sz w:val="28"/>
      <w:szCs w:val="28"/>
    </w:rPr>
  </w:style>
  <w:style w:type="paragraph" w:styleId="Titolo5">
    <w:name w:val="heading 5"/>
    <w:basedOn w:val="Normale"/>
    <w:next w:val="Normale"/>
    <w:link w:val="Titolo5Carattere"/>
    <w:uiPriority w:val="99"/>
    <w:unhideWhenUsed/>
    <w:qFormat/>
    <w:rsid w:val="0007346F"/>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9"/>
    <w:qFormat/>
    <w:rsid w:val="00FB34FF"/>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FB34FF"/>
    <w:pPr>
      <w:spacing w:before="100" w:beforeAutospacing="1" w:after="100" w:afterAutospacing="1"/>
    </w:pPr>
  </w:style>
  <w:style w:type="paragraph" w:styleId="Intestazione">
    <w:name w:val="header"/>
    <w:basedOn w:val="Normale"/>
    <w:link w:val="IntestazioneCarattere"/>
    <w:uiPriority w:val="99"/>
    <w:rsid w:val="00FB34FF"/>
    <w:pPr>
      <w:tabs>
        <w:tab w:val="center" w:pos="4819"/>
        <w:tab w:val="right" w:pos="9638"/>
      </w:tabs>
      <w:jc w:val="both"/>
    </w:pPr>
    <w:rPr>
      <w:rFonts w:ascii="Garamond" w:hAnsi="Garamond"/>
      <w:sz w:val="28"/>
    </w:rPr>
  </w:style>
  <w:style w:type="paragraph" w:styleId="Pidipagina">
    <w:name w:val="footer"/>
    <w:basedOn w:val="Normale"/>
    <w:link w:val="PidipaginaCarattere"/>
    <w:uiPriority w:val="99"/>
    <w:rsid w:val="00FB34FF"/>
    <w:pPr>
      <w:tabs>
        <w:tab w:val="center" w:pos="4819"/>
        <w:tab w:val="right" w:pos="9638"/>
      </w:tabs>
      <w:jc w:val="both"/>
    </w:pPr>
    <w:rPr>
      <w:rFonts w:ascii="Garamond" w:hAnsi="Garamond"/>
      <w:sz w:val="28"/>
    </w:rPr>
  </w:style>
  <w:style w:type="character" w:styleId="Numeropagina">
    <w:name w:val="page number"/>
    <w:basedOn w:val="Carpredefinitoparagrafo"/>
    <w:uiPriority w:val="99"/>
    <w:rsid w:val="00FB34FF"/>
  </w:style>
  <w:style w:type="paragraph" w:styleId="Testonotaapidipagina">
    <w:name w:val="footnote text"/>
    <w:basedOn w:val="Normale"/>
    <w:link w:val="TestonotaapidipaginaCarattere"/>
    <w:uiPriority w:val="99"/>
    <w:rsid w:val="00FB34FF"/>
    <w:rPr>
      <w:sz w:val="20"/>
      <w:szCs w:val="20"/>
    </w:rPr>
  </w:style>
  <w:style w:type="character" w:styleId="Rimandonotaapidipagina">
    <w:name w:val="footnote reference"/>
    <w:uiPriority w:val="99"/>
    <w:rsid w:val="00FB34FF"/>
    <w:rPr>
      <w:vertAlign w:val="superscript"/>
    </w:rPr>
  </w:style>
  <w:style w:type="paragraph" w:customStyle="1" w:styleId="vedianche">
    <w:name w:val="vedianche"/>
    <w:basedOn w:val="Normale"/>
    <w:rsid w:val="00FB34FF"/>
    <w:pPr>
      <w:spacing w:before="100" w:beforeAutospacing="1" w:after="100" w:afterAutospacing="1"/>
    </w:pPr>
  </w:style>
  <w:style w:type="character" w:styleId="Collegamentoipertestuale">
    <w:name w:val="Hyperlink"/>
    <w:uiPriority w:val="99"/>
    <w:rsid w:val="00FB34FF"/>
    <w:rPr>
      <w:color w:val="0000FF"/>
      <w:u w:val="single"/>
    </w:rPr>
  </w:style>
  <w:style w:type="paragraph" w:styleId="Rientrocorpodeltesto">
    <w:name w:val="Body Text Indent"/>
    <w:basedOn w:val="Normale"/>
    <w:link w:val="RientrocorpodeltestoCarattere"/>
    <w:uiPriority w:val="99"/>
    <w:rsid w:val="00FB34FF"/>
    <w:pPr>
      <w:spacing w:after="120"/>
      <w:ind w:left="283"/>
      <w:jc w:val="both"/>
    </w:pPr>
    <w:rPr>
      <w:rFonts w:ascii="Verdana" w:hAnsi="Verdana"/>
      <w:sz w:val="22"/>
    </w:rPr>
  </w:style>
  <w:style w:type="paragraph" w:styleId="Corpotesto">
    <w:name w:val="Body Text"/>
    <w:basedOn w:val="Normale"/>
    <w:link w:val="CorpotestoCarattere"/>
    <w:uiPriority w:val="99"/>
    <w:rsid w:val="00FB34FF"/>
    <w:pPr>
      <w:spacing w:line="360" w:lineRule="auto"/>
    </w:pPr>
    <w:rPr>
      <w:rFonts w:ascii="Arial" w:hAnsi="Arial" w:cs="Arial"/>
      <w:b/>
      <w:bCs/>
      <w:szCs w:val="23"/>
    </w:rPr>
  </w:style>
  <w:style w:type="character" w:customStyle="1" w:styleId="apple-style-span">
    <w:name w:val="apple-style-span"/>
    <w:basedOn w:val="Carpredefinitoparagrafo"/>
    <w:rsid w:val="00FB34FF"/>
  </w:style>
  <w:style w:type="paragraph" w:styleId="Corpodeltesto2">
    <w:name w:val="Body Text 2"/>
    <w:basedOn w:val="Normale"/>
    <w:rsid w:val="00FB34FF"/>
    <w:pPr>
      <w:spacing w:after="80" w:line="360" w:lineRule="auto"/>
      <w:jc w:val="both"/>
    </w:pPr>
    <w:rPr>
      <w:rFonts w:ascii="Arial" w:hAnsi="Arial" w:cs="Arial"/>
      <w:sz w:val="23"/>
      <w:szCs w:val="23"/>
    </w:rPr>
  </w:style>
  <w:style w:type="character" w:customStyle="1" w:styleId="apple-converted-space">
    <w:name w:val="apple-converted-space"/>
    <w:basedOn w:val="Carpredefinitoparagrafo"/>
    <w:rsid w:val="00FB34FF"/>
  </w:style>
  <w:style w:type="paragraph" w:styleId="Rientrocorpodeltesto2">
    <w:name w:val="Body Text Indent 2"/>
    <w:basedOn w:val="Normale"/>
    <w:rsid w:val="00FB34FF"/>
    <w:pPr>
      <w:spacing w:after="120"/>
      <w:ind w:left="360"/>
      <w:jc w:val="both"/>
    </w:pPr>
    <w:rPr>
      <w:rFonts w:ascii="Arial" w:hAnsi="Arial" w:cs="Arial"/>
      <w:sz w:val="23"/>
      <w:szCs w:val="23"/>
    </w:rPr>
  </w:style>
  <w:style w:type="paragraph" w:styleId="Rientrocorpodeltesto3">
    <w:name w:val="Body Text Indent 3"/>
    <w:basedOn w:val="Normale"/>
    <w:rsid w:val="00FB34FF"/>
    <w:pPr>
      <w:spacing w:after="120"/>
      <w:ind w:left="540"/>
      <w:jc w:val="both"/>
    </w:pPr>
    <w:rPr>
      <w:rFonts w:ascii="Arial" w:hAnsi="Arial" w:cs="Arial"/>
      <w:sz w:val="23"/>
      <w:szCs w:val="23"/>
    </w:rPr>
  </w:style>
  <w:style w:type="character" w:styleId="Enfasigrassetto">
    <w:name w:val="Strong"/>
    <w:qFormat/>
    <w:rsid w:val="00FB34FF"/>
    <w:rPr>
      <w:b/>
      <w:bCs/>
    </w:rPr>
  </w:style>
  <w:style w:type="character" w:styleId="Enfasicorsivo">
    <w:name w:val="Emphasis"/>
    <w:uiPriority w:val="99"/>
    <w:qFormat/>
    <w:rsid w:val="00FB34FF"/>
    <w:rPr>
      <w:i/>
      <w:iCs/>
    </w:rPr>
  </w:style>
  <w:style w:type="paragraph" w:styleId="Testonormale">
    <w:name w:val="Plain Text"/>
    <w:basedOn w:val="Normale"/>
    <w:link w:val="TestonormaleCarattere"/>
    <w:uiPriority w:val="99"/>
    <w:rsid w:val="00FB34FF"/>
    <w:rPr>
      <w:rFonts w:ascii="Courier New" w:hAnsi="Courier New" w:cs="Courier New"/>
      <w:sz w:val="20"/>
      <w:szCs w:val="20"/>
    </w:rPr>
  </w:style>
  <w:style w:type="paragraph" w:styleId="Corpodeltesto3">
    <w:name w:val="Body Text 3"/>
    <w:basedOn w:val="Normale"/>
    <w:link w:val="Corpodeltesto3Carattere"/>
    <w:uiPriority w:val="99"/>
    <w:rsid w:val="00FB34FF"/>
    <w:pPr>
      <w:spacing w:after="120"/>
    </w:pPr>
    <w:rPr>
      <w:sz w:val="16"/>
      <w:szCs w:val="16"/>
    </w:rPr>
  </w:style>
  <w:style w:type="paragraph" w:customStyle="1" w:styleId="TAVOLARapann">
    <w:name w:val="TAVOLA Rapann"/>
    <w:next w:val="Normale"/>
    <w:link w:val="TAVOLARapannCarattere"/>
    <w:rsid w:val="00FB34FF"/>
    <w:pPr>
      <w:tabs>
        <w:tab w:val="left" w:pos="1276"/>
      </w:tabs>
      <w:spacing w:line="200" w:lineRule="exact"/>
      <w:ind w:left="1276" w:hanging="1276"/>
      <w:jc w:val="both"/>
    </w:pPr>
    <w:rPr>
      <w:rFonts w:ascii="Arial" w:hAnsi="Arial"/>
      <w:b/>
      <w:bCs/>
      <w:sz w:val="18"/>
    </w:rPr>
  </w:style>
  <w:style w:type="character" w:customStyle="1" w:styleId="TAVOLARapannCarattere">
    <w:name w:val="TAVOLA Rapann Carattere"/>
    <w:link w:val="TAVOLARapann"/>
    <w:rsid w:val="00FB34FF"/>
    <w:rPr>
      <w:rFonts w:ascii="Arial" w:hAnsi="Arial"/>
      <w:b/>
      <w:bCs/>
      <w:sz w:val="18"/>
      <w:lang w:val="it-IT" w:eastAsia="it-IT" w:bidi="ar-SA"/>
    </w:rPr>
  </w:style>
  <w:style w:type="paragraph" w:customStyle="1" w:styleId="tesina">
    <w:name w:val="tesina"/>
    <w:basedOn w:val="Normale"/>
    <w:rsid w:val="00FB34FF"/>
    <w:pPr>
      <w:widowControl w:val="0"/>
      <w:autoSpaceDE w:val="0"/>
      <w:autoSpaceDN w:val="0"/>
      <w:adjustRightInd w:val="0"/>
      <w:spacing w:line="285" w:lineRule="atLeast"/>
      <w:ind w:left="390" w:right="390"/>
      <w:jc w:val="both"/>
    </w:pPr>
  </w:style>
  <w:style w:type="paragraph" w:customStyle="1" w:styleId="desc">
    <w:name w:val="desc"/>
    <w:basedOn w:val="Normale"/>
    <w:rsid w:val="00FB34FF"/>
    <w:pPr>
      <w:spacing w:before="100" w:beforeAutospacing="1" w:after="100" w:afterAutospacing="1"/>
    </w:pPr>
  </w:style>
  <w:style w:type="character" w:customStyle="1" w:styleId="glossario">
    <w:name w:val="glossario"/>
    <w:basedOn w:val="Carpredefinitoparagrafo"/>
    <w:rsid w:val="00FB34FF"/>
  </w:style>
  <w:style w:type="paragraph" w:styleId="Testofumetto">
    <w:name w:val="Balloon Text"/>
    <w:basedOn w:val="Normale"/>
    <w:link w:val="TestofumettoCarattere"/>
    <w:uiPriority w:val="99"/>
    <w:rsid w:val="00B506F1"/>
    <w:rPr>
      <w:rFonts w:ascii="Tahoma" w:hAnsi="Tahoma"/>
      <w:sz w:val="16"/>
      <w:szCs w:val="16"/>
      <w:lang w:val="x-none" w:eastAsia="x-none"/>
    </w:rPr>
  </w:style>
  <w:style w:type="character" w:customStyle="1" w:styleId="TestofumettoCarattere">
    <w:name w:val="Testo fumetto Carattere"/>
    <w:link w:val="Testofumetto"/>
    <w:uiPriority w:val="99"/>
    <w:rsid w:val="00B506F1"/>
    <w:rPr>
      <w:rFonts w:ascii="Tahoma" w:hAnsi="Tahoma" w:cs="Tahoma"/>
      <w:sz w:val="16"/>
      <w:szCs w:val="16"/>
    </w:rPr>
  </w:style>
  <w:style w:type="character" w:styleId="Rimandocommento">
    <w:name w:val="annotation reference"/>
    <w:uiPriority w:val="99"/>
    <w:rsid w:val="002A2D78"/>
    <w:rPr>
      <w:sz w:val="16"/>
      <w:szCs w:val="16"/>
    </w:rPr>
  </w:style>
  <w:style w:type="paragraph" w:styleId="Testocommento">
    <w:name w:val="annotation text"/>
    <w:basedOn w:val="Normale"/>
    <w:link w:val="TestocommentoCarattere"/>
    <w:uiPriority w:val="99"/>
    <w:rsid w:val="002A2D78"/>
    <w:rPr>
      <w:sz w:val="20"/>
      <w:szCs w:val="20"/>
    </w:rPr>
  </w:style>
  <w:style w:type="character" w:customStyle="1" w:styleId="TestocommentoCarattere">
    <w:name w:val="Testo commento Carattere"/>
    <w:basedOn w:val="Carpredefinitoparagrafo"/>
    <w:link w:val="Testocommento"/>
    <w:uiPriority w:val="99"/>
    <w:rsid w:val="002A2D78"/>
  </w:style>
  <w:style w:type="paragraph" w:styleId="Soggettocommento">
    <w:name w:val="annotation subject"/>
    <w:basedOn w:val="Testocommento"/>
    <w:next w:val="Testocommento"/>
    <w:link w:val="SoggettocommentoCarattere"/>
    <w:uiPriority w:val="99"/>
    <w:rsid w:val="002A2D78"/>
    <w:rPr>
      <w:b/>
      <w:bCs/>
    </w:rPr>
  </w:style>
  <w:style w:type="character" w:customStyle="1" w:styleId="SoggettocommentoCarattere">
    <w:name w:val="Soggetto commento Carattere"/>
    <w:link w:val="Soggettocommento"/>
    <w:uiPriority w:val="99"/>
    <w:rsid w:val="002A2D78"/>
    <w:rPr>
      <w:b/>
      <w:bCs/>
    </w:rPr>
  </w:style>
  <w:style w:type="paragraph" w:styleId="Paragrafoelenco">
    <w:name w:val="List Paragraph"/>
    <w:basedOn w:val="Normale"/>
    <w:uiPriority w:val="99"/>
    <w:qFormat/>
    <w:rsid w:val="009C4DFF"/>
    <w:pPr>
      <w:ind w:left="720"/>
      <w:contextualSpacing/>
    </w:pPr>
  </w:style>
  <w:style w:type="character" w:customStyle="1" w:styleId="PidipaginaCarattere">
    <w:name w:val="Piè di pagina Carattere"/>
    <w:basedOn w:val="Carpredefinitoparagrafo"/>
    <w:link w:val="Pidipagina"/>
    <w:uiPriority w:val="99"/>
    <w:rsid w:val="00CC37A8"/>
    <w:rPr>
      <w:rFonts w:ascii="Garamond" w:hAnsi="Garamond"/>
      <w:sz w:val="28"/>
      <w:szCs w:val="24"/>
    </w:rPr>
  </w:style>
  <w:style w:type="character" w:customStyle="1" w:styleId="mw-headline">
    <w:name w:val="mw-headline"/>
    <w:basedOn w:val="Carpredefinitoparagrafo"/>
    <w:rsid w:val="00CF66EE"/>
  </w:style>
  <w:style w:type="table" w:styleId="Grigliatabella">
    <w:name w:val="Table Grid"/>
    <w:basedOn w:val="Tabellanormale"/>
    <w:uiPriority w:val="99"/>
    <w:rsid w:val="00614E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AB47ED"/>
    <w:rPr>
      <w:sz w:val="24"/>
      <w:szCs w:val="24"/>
    </w:rPr>
  </w:style>
  <w:style w:type="character" w:customStyle="1" w:styleId="IntestazioneCarattere">
    <w:name w:val="Intestazione Carattere"/>
    <w:basedOn w:val="Carpredefinitoparagrafo"/>
    <w:link w:val="Intestazione"/>
    <w:uiPriority w:val="99"/>
    <w:rsid w:val="00DF2FE2"/>
    <w:rPr>
      <w:rFonts w:ascii="Garamond" w:hAnsi="Garamond"/>
      <w:sz w:val="28"/>
      <w:szCs w:val="24"/>
    </w:rPr>
  </w:style>
  <w:style w:type="character" w:customStyle="1" w:styleId="TestonotaapidipaginaCarattere">
    <w:name w:val="Testo nota a piè di pagina Carattere"/>
    <w:basedOn w:val="Carpredefinitoparagrafo"/>
    <w:link w:val="Testonotaapidipagina"/>
    <w:uiPriority w:val="99"/>
    <w:rsid w:val="00DD1259"/>
  </w:style>
  <w:style w:type="paragraph" w:styleId="Testonotadichiusura">
    <w:name w:val="endnote text"/>
    <w:basedOn w:val="Normale"/>
    <w:link w:val="TestonotadichiusuraCarattere"/>
    <w:semiHidden/>
    <w:unhideWhenUsed/>
    <w:rsid w:val="00C91EBC"/>
    <w:rPr>
      <w:sz w:val="20"/>
      <w:szCs w:val="20"/>
    </w:rPr>
  </w:style>
  <w:style w:type="character" w:customStyle="1" w:styleId="TestonotadichiusuraCarattere">
    <w:name w:val="Testo nota di chiusura Carattere"/>
    <w:basedOn w:val="Carpredefinitoparagrafo"/>
    <w:link w:val="Testonotadichiusura"/>
    <w:semiHidden/>
    <w:rsid w:val="00C91EBC"/>
  </w:style>
  <w:style w:type="character" w:styleId="Rimandonotadichiusura">
    <w:name w:val="endnote reference"/>
    <w:basedOn w:val="Carpredefinitoparagrafo"/>
    <w:uiPriority w:val="99"/>
    <w:semiHidden/>
    <w:unhideWhenUsed/>
    <w:rsid w:val="00C91EBC"/>
    <w:rPr>
      <w:vertAlign w:val="superscript"/>
    </w:rPr>
  </w:style>
  <w:style w:type="paragraph" w:customStyle="1" w:styleId="Default">
    <w:name w:val="Default"/>
    <w:rsid w:val="00A2532B"/>
    <w:pPr>
      <w:autoSpaceDE w:val="0"/>
      <w:autoSpaceDN w:val="0"/>
      <w:adjustRightInd w:val="0"/>
    </w:pPr>
    <w:rPr>
      <w:color w:val="000000"/>
      <w:sz w:val="24"/>
      <w:szCs w:val="24"/>
    </w:rPr>
  </w:style>
  <w:style w:type="character" w:customStyle="1" w:styleId="Titolo5Carattere">
    <w:name w:val="Titolo 5 Carattere"/>
    <w:basedOn w:val="Carpredefinitoparagrafo"/>
    <w:link w:val="Titolo5"/>
    <w:uiPriority w:val="99"/>
    <w:semiHidden/>
    <w:rsid w:val="0007346F"/>
    <w:rPr>
      <w:rFonts w:asciiTheme="majorHAnsi" w:eastAsiaTheme="majorEastAsia" w:hAnsiTheme="majorHAnsi" w:cstheme="majorBidi"/>
      <w:color w:val="243F60" w:themeColor="accent1" w:themeShade="7F"/>
      <w:sz w:val="24"/>
      <w:szCs w:val="24"/>
    </w:rPr>
  </w:style>
  <w:style w:type="character" w:customStyle="1" w:styleId="Titolo4Carattere">
    <w:name w:val="Titolo 4 Carattere"/>
    <w:basedOn w:val="Carpredefinitoparagrafo"/>
    <w:link w:val="Titolo4"/>
    <w:uiPriority w:val="99"/>
    <w:rsid w:val="0007346F"/>
    <w:rPr>
      <w:rFonts w:ascii="Calibri" w:hAnsi="Calibri"/>
      <w:b/>
      <w:bCs/>
      <w:sz w:val="28"/>
      <w:szCs w:val="28"/>
    </w:rPr>
  </w:style>
  <w:style w:type="character" w:customStyle="1" w:styleId="Titolo1Carattere">
    <w:name w:val="Titolo 1 Carattere"/>
    <w:basedOn w:val="Carpredefinitoparagrafo"/>
    <w:link w:val="Titolo1"/>
    <w:uiPriority w:val="99"/>
    <w:locked/>
    <w:rsid w:val="0007346F"/>
    <w:rPr>
      <w:rFonts w:ascii="Verdana" w:hAnsi="Verdana"/>
      <w:b/>
      <w:bCs/>
      <w:sz w:val="22"/>
      <w:szCs w:val="24"/>
    </w:rPr>
  </w:style>
  <w:style w:type="character" w:customStyle="1" w:styleId="Titolo2Carattere">
    <w:name w:val="Titolo 2 Carattere"/>
    <w:basedOn w:val="Carpredefinitoparagrafo"/>
    <w:link w:val="Titolo2"/>
    <w:uiPriority w:val="99"/>
    <w:locked/>
    <w:rsid w:val="0007346F"/>
    <w:rPr>
      <w:rFonts w:ascii="Verdana" w:hAnsi="Verdana"/>
      <w:bCs/>
      <w:i/>
      <w:sz w:val="21"/>
      <w:szCs w:val="36"/>
    </w:rPr>
  </w:style>
  <w:style w:type="character" w:customStyle="1" w:styleId="Titolo3Carattere">
    <w:name w:val="Titolo 3 Carattere"/>
    <w:basedOn w:val="Carpredefinitoparagrafo"/>
    <w:link w:val="Titolo3"/>
    <w:uiPriority w:val="99"/>
    <w:locked/>
    <w:rsid w:val="0007346F"/>
    <w:rPr>
      <w:b/>
      <w:bCs/>
      <w:sz w:val="27"/>
      <w:szCs w:val="27"/>
    </w:rPr>
  </w:style>
  <w:style w:type="character" w:customStyle="1" w:styleId="Titolo6Carattere">
    <w:name w:val="Titolo 6 Carattere"/>
    <w:basedOn w:val="Carpredefinitoparagrafo"/>
    <w:link w:val="Titolo6"/>
    <w:uiPriority w:val="99"/>
    <w:locked/>
    <w:rsid w:val="0007346F"/>
    <w:rPr>
      <w:b/>
      <w:bCs/>
      <w:sz w:val="22"/>
      <w:szCs w:val="22"/>
    </w:rPr>
  </w:style>
  <w:style w:type="character" w:customStyle="1" w:styleId="CorpotestoCarattere">
    <w:name w:val="Corpo testo Carattere"/>
    <w:basedOn w:val="Carpredefinitoparagrafo"/>
    <w:link w:val="Corpotesto"/>
    <w:uiPriority w:val="99"/>
    <w:locked/>
    <w:rsid w:val="0007346F"/>
    <w:rPr>
      <w:rFonts w:ascii="Arial" w:hAnsi="Arial" w:cs="Arial"/>
      <w:b/>
      <w:bCs/>
      <w:sz w:val="24"/>
      <w:szCs w:val="23"/>
    </w:rPr>
  </w:style>
  <w:style w:type="character" w:customStyle="1" w:styleId="Corpodeltesto3Carattere">
    <w:name w:val="Corpo del testo 3 Carattere"/>
    <w:basedOn w:val="Carpredefinitoparagrafo"/>
    <w:link w:val="Corpodeltesto3"/>
    <w:uiPriority w:val="99"/>
    <w:locked/>
    <w:rsid w:val="0007346F"/>
    <w:rPr>
      <w:sz w:val="16"/>
      <w:szCs w:val="16"/>
    </w:rPr>
  </w:style>
  <w:style w:type="paragraph" w:styleId="Mappadocumento">
    <w:name w:val="Document Map"/>
    <w:basedOn w:val="Normale"/>
    <w:link w:val="MappadocumentoCarattere"/>
    <w:uiPriority w:val="99"/>
    <w:semiHidden/>
    <w:rsid w:val="0007346F"/>
    <w:pPr>
      <w:shd w:val="clear" w:color="auto" w:fill="000080"/>
    </w:pPr>
    <w:rPr>
      <w:sz w:val="2"/>
      <w:szCs w:val="2"/>
    </w:rPr>
  </w:style>
  <w:style w:type="character" w:customStyle="1" w:styleId="MappadocumentoCarattere">
    <w:name w:val="Mappa documento Carattere"/>
    <w:basedOn w:val="Carpredefinitoparagrafo"/>
    <w:link w:val="Mappadocumento"/>
    <w:uiPriority w:val="99"/>
    <w:semiHidden/>
    <w:rsid w:val="0007346F"/>
    <w:rPr>
      <w:sz w:val="2"/>
      <w:szCs w:val="2"/>
      <w:shd w:val="clear" w:color="auto" w:fill="000080"/>
    </w:rPr>
  </w:style>
  <w:style w:type="character" w:customStyle="1" w:styleId="RientrocorpodeltestoCarattere">
    <w:name w:val="Rientro corpo del testo Carattere"/>
    <w:basedOn w:val="Carpredefinitoparagrafo"/>
    <w:link w:val="Rientrocorpodeltesto"/>
    <w:uiPriority w:val="99"/>
    <w:locked/>
    <w:rsid w:val="0007346F"/>
    <w:rPr>
      <w:rFonts w:ascii="Verdana" w:hAnsi="Verdana"/>
      <w:sz w:val="22"/>
      <w:szCs w:val="24"/>
    </w:rPr>
  </w:style>
  <w:style w:type="paragraph" w:customStyle="1" w:styleId="Comunicato">
    <w:name w:val="Comunicato"/>
    <w:basedOn w:val="Normale"/>
    <w:link w:val="ComunicatoCarattere"/>
    <w:uiPriority w:val="99"/>
    <w:rsid w:val="0007346F"/>
    <w:pPr>
      <w:jc w:val="both"/>
    </w:pPr>
    <w:rPr>
      <w:sz w:val="23"/>
      <w:szCs w:val="20"/>
    </w:rPr>
  </w:style>
  <w:style w:type="character" w:customStyle="1" w:styleId="ComunicatoCarattere">
    <w:name w:val="Comunicato Carattere"/>
    <w:link w:val="Comunicato"/>
    <w:uiPriority w:val="99"/>
    <w:locked/>
    <w:rsid w:val="0007346F"/>
    <w:rPr>
      <w:sz w:val="23"/>
    </w:rPr>
  </w:style>
  <w:style w:type="paragraph" w:styleId="Sommario1">
    <w:name w:val="toc 1"/>
    <w:basedOn w:val="Normale"/>
    <w:next w:val="Normale"/>
    <w:autoRedefine/>
    <w:uiPriority w:val="99"/>
    <w:semiHidden/>
    <w:rsid w:val="0007346F"/>
    <w:pPr>
      <w:tabs>
        <w:tab w:val="right" w:leader="dot" w:pos="9060"/>
      </w:tabs>
      <w:spacing w:before="40" w:after="80"/>
    </w:pPr>
    <w:rPr>
      <w:rFonts w:ascii="Verdana" w:hAnsi="Verdana" w:cs="Verdana"/>
      <w:i/>
      <w:iCs/>
      <w:noProof/>
      <w:color w:val="800000"/>
      <w:sz w:val="18"/>
      <w:szCs w:val="18"/>
    </w:rPr>
  </w:style>
  <w:style w:type="character" w:customStyle="1" w:styleId="TestonormaleCarattere">
    <w:name w:val="Testo normale Carattere"/>
    <w:basedOn w:val="Carpredefinitoparagrafo"/>
    <w:link w:val="Testonormale"/>
    <w:uiPriority w:val="99"/>
    <w:locked/>
    <w:rsid w:val="0007346F"/>
    <w:rPr>
      <w:rFonts w:ascii="Courier New" w:hAnsi="Courier New" w:cs="Courier New"/>
    </w:rPr>
  </w:style>
  <w:style w:type="character" w:customStyle="1" w:styleId="CarattereCarattere9">
    <w:name w:val="Carattere Carattere9"/>
    <w:uiPriority w:val="99"/>
    <w:semiHidden/>
    <w:locked/>
    <w:rsid w:val="0007346F"/>
    <w:rPr>
      <w:sz w:val="20"/>
    </w:rPr>
  </w:style>
  <w:style w:type="character" w:styleId="Collegamentovisitato">
    <w:name w:val="FollowedHyperlink"/>
    <w:basedOn w:val="Carpredefinitoparagrafo"/>
    <w:uiPriority w:val="99"/>
    <w:semiHidden/>
    <w:unhideWhenUsed/>
    <w:rsid w:val="0007346F"/>
    <w:rPr>
      <w:color w:val="800080" w:themeColor="followedHyperlink"/>
      <w:u w:val="single"/>
    </w:rPr>
  </w:style>
  <w:style w:type="table" w:styleId="Sfondochiaro-Colore2">
    <w:name w:val="Light Shading Accent 2"/>
    <w:basedOn w:val="Tabellanormale"/>
    <w:uiPriority w:val="60"/>
    <w:rsid w:val="00695F6B"/>
    <w:rPr>
      <w:rFonts w:asciiTheme="minorHAnsi" w:eastAsiaTheme="minorEastAsia" w:hAnsiTheme="minorHAnsi"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00TitoGra1">
    <w:name w:val="00TitoGra1"/>
    <w:basedOn w:val="Normale"/>
    <w:qFormat/>
    <w:rsid w:val="0038412A"/>
    <w:pPr>
      <w:widowControl w:val="0"/>
      <w:overflowPunct w:val="0"/>
      <w:autoSpaceDE w:val="0"/>
      <w:autoSpaceDN w:val="0"/>
      <w:adjustRightInd w:val="0"/>
      <w:spacing w:line="280" w:lineRule="exact"/>
    </w:pPr>
    <w:rPr>
      <w:rFonts w:ascii="Calibri" w:hAnsi="Calibri" w:cs="Arial"/>
      <w:b/>
      <w:color w:val="D90B13"/>
      <w:kern w:val="28"/>
      <w:sz w:val="28"/>
      <w:szCs w:val="28"/>
    </w:rPr>
  </w:style>
  <w:style w:type="paragraph" w:styleId="Nessunaspaziatura">
    <w:name w:val="No Spacing"/>
    <w:uiPriority w:val="1"/>
    <w:qFormat/>
    <w:rsid w:val="00A549BF"/>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642790">
      <w:bodyDiv w:val="1"/>
      <w:marLeft w:val="0"/>
      <w:marRight w:val="0"/>
      <w:marTop w:val="0"/>
      <w:marBottom w:val="0"/>
      <w:divBdr>
        <w:top w:val="none" w:sz="0" w:space="0" w:color="auto"/>
        <w:left w:val="none" w:sz="0" w:space="0" w:color="auto"/>
        <w:bottom w:val="none" w:sz="0" w:space="0" w:color="auto"/>
        <w:right w:val="none" w:sz="0" w:space="0" w:color="auto"/>
      </w:divBdr>
    </w:div>
    <w:div w:id="308101001">
      <w:bodyDiv w:val="1"/>
      <w:marLeft w:val="0"/>
      <w:marRight w:val="0"/>
      <w:marTop w:val="0"/>
      <w:marBottom w:val="0"/>
      <w:divBdr>
        <w:top w:val="none" w:sz="0" w:space="0" w:color="auto"/>
        <w:left w:val="none" w:sz="0" w:space="0" w:color="auto"/>
        <w:bottom w:val="none" w:sz="0" w:space="0" w:color="auto"/>
        <w:right w:val="none" w:sz="0" w:space="0" w:color="auto"/>
      </w:divBdr>
    </w:div>
    <w:div w:id="312494863">
      <w:bodyDiv w:val="1"/>
      <w:marLeft w:val="0"/>
      <w:marRight w:val="0"/>
      <w:marTop w:val="0"/>
      <w:marBottom w:val="0"/>
      <w:divBdr>
        <w:top w:val="none" w:sz="0" w:space="0" w:color="auto"/>
        <w:left w:val="none" w:sz="0" w:space="0" w:color="auto"/>
        <w:bottom w:val="none" w:sz="0" w:space="0" w:color="auto"/>
        <w:right w:val="none" w:sz="0" w:space="0" w:color="auto"/>
      </w:divBdr>
    </w:div>
    <w:div w:id="321274401">
      <w:bodyDiv w:val="1"/>
      <w:marLeft w:val="0"/>
      <w:marRight w:val="0"/>
      <w:marTop w:val="0"/>
      <w:marBottom w:val="0"/>
      <w:divBdr>
        <w:top w:val="none" w:sz="0" w:space="0" w:color="auto"/>
        <w:left w:val="none" w:sz="0" w:space="0" w:color="auto"/>
        <w:bottom w:val="none" w:sz="0" w:space="0" w:color="auto"/>
        <w:right w:val="none" w:sz="0" w:space="0" w:color="auto"/>
      </w:divBdr>
    </w:div>
    <w:div w:id="476386731">
      <w:bodyDiv w:val="1"/>
      <w:marLeft w:val="0"/>
      <w:marRight w:val="0"/>
      <w:marTop w:val="0"/>
      <w:marBottom w:val="0"/>
      <w:divBdr>
        <w:top w:val="none" w:sz="0" w:space="0" w:color="auto"/>
        <w:left w:val="none" w:sz="0" w:space="0" w:color="auto"/>
        <w:bottom w:val="none" w:sz="0" w:space="0" w:color="auto"/>
        <w:right w:val="none" w:sz="0" w:space="0" w:color="auto"/>
      </w:divBdr>
    </w:div>
    <w:div w:id="582834995">
      <w:bodyDiv w:val="1"/>
      <w:marLeft w:val="0"/>
      <w:marRight w:val="0"/>
      <w:marTop w:val="0"/>
      <w:marBottom w:val="0"/>
      <w:divBdr>
        <w:top w:val="none" w:sz="0" w:space="0" w:color="auto"/>
        <w:left w:val="none" w:sz="0" w:space="0" w:color="auto"/>
        <w:bottom w:val="none" w:sz="0" w:space="0" w:color="auto"/>
        <w:right w:val="none" w:sz="0" w:space="0" w:color="auto"/>
      </w:divBdr>
    </w:div>
    <w:div w:id="666784563">
      <w:bodyDiv w:val="1"/>
      <w:marLeft w:val="0"/>
      <w:marRight w:val="0"/>
      <w:marTop w:val="0"/>
      <w:marBottom w:val="0"/>
      <w:divBdr>
        <w:top w:val="none" w:sz="0" w:space="0" w:color="auto"/>
        <w:left w:val="none" w:sz="0" w:space="0" w:color="auto"/>
        <w:bottom w:val="none" w:sz="0" w:space="0" w:color="auto"/>
        <w:right w:val="none" w:sz="0" w:space="0" w:color="auto"/>
      </w:divBdr>
    </w:div>
    <w:div w:id="886453834">
      <w:bodyDiv w:val="1"/>
      <w:marLeft w:val="0"/>
      <w:marRight w:val="0"/>
      <w:marTop w:val="0"/>
      <w:marBottom w:val="0"/>
      <w:divBdr>
        <w:top w:val="none" w:sz="0" w:space="0" w:color="auto"/>
        <w:left w:val="none" w:sz="0" w:space="0" w:color="auto"/>
        <w:bottom w:val="none" w:sz="0" w:space="0" w:color="auto"/>
        <w:right w:val="none" w:sz="0" w:space="0" w:color="auto"/>
      </w:divBdr>
    </w:div>
    <w:div w:id="1265265809">
      <w:bodyDiv w:val="1"/>
      <w:marLeft w:val="0"/>
      <w:marRight w:val="0"/>
      <w:marTop w:val="0"/>
      <w:marBottom w:val="0"/>
      <w:divBdr>
        <w:top w:val="none" w:sz="0" w:space="0" w:color="auto"/>
        <w:left w:val="none" w:sz="0" w:space="0" w:color="auto"/>
        <w:bottom w:val="none" w:sz="0" w:space="0" w:color="auto"/>
        <w:right w:val="none" w:sz="0" w:space="0" w:color="auto"/>
      </w:divBdr>
    </w:div>
    <w:div w:id="1290747301">
      <w:bodyDiv w:val="1"/>
      <w:marLeft w:val="0"/>
      <w:marRight w:val="0"/>
      <w:marTop w:val="0"/>
      <w:marBottom w:val="0"/>
      <w:divBdr>
        <w:top w:val="none" w:sz="0" w:space="0" w:color="auto"/>
        <w:left w:val="none" w:sz="0" w:space="0" w:color="auto"/>
        <w:bottom w:val="none" w:sz="0" w:space="0" w:color="auto"/>
        <w:right w:val="none" w:sz="0" w:space="0" w:color="auto"/>
      </w:divBdr>
    </w:div>
    <w:div w:id="1389035702">
      <w:bodyDiv w:val="1"/>
      <w:marLeft w:val="0"/>
      <w:marRight w:val="0"/>
      <w:marTop w:val="0"/>
      <w:marBottom w:val="0"/>
      <w:divBdr>
        <w:top w:val="none" w:sz="0" w:space="0" w:color="auto"/>
        <w:left w:val="none" w:sz="0" w:space="0" w:color="auto"/>
        <w:bottom w:val="none" w:sz="0" w:space="0" w:color="auto"/>
        <w:right w:val="none" w:sz="0" w:space="0" w:color="auto"/>
      </w:divBdr>
    </w:div>
    <w:div w:id="1563981558">
      <w:bodyDiv w:val="1"/>
      <w:marLeft w:val="0"/>
      <w:marRight w:val="0"/>
      <w:marTop w:val="0"/>
      <w:marBottom w:val="0"/>
      <w:divBdr>
        <w:top w:val="none" w:sz="0" w:space="0" w:color="auto"/>
        <w:left w:val="none" w:sz="0" w:space="0" w:color="auto"/>
        <w:bottom w:val="none" w:sz="0" w:space="0" w:color="auto"/>
        <w:right w:val="none" w:sz="0" w:space="0" w:color="auto"/>
      </w:divBdr>
    </w:div>
    <w:div w:id="1702046355">
      <w:bodyDiv w:val="1"/>
      <w:marLeft w:val="0"/>
      <w:marRight w:val="0"/>
      <w:marTop w:val="0"/>
      <w:marBottom w:val="0"/>
      <w:divBdr>
        <w:top w:val="none" w:sz="0" w:space="0" w:color="auto"/>
        <w:left w:val="none" w:sz="0" w:space="0" w:color="auto"/>
        <w:bottom w:val="none" w:sz="0" w:space="0" w:color="auto"/>
        <w:right w:val="none" w:sz="0" w:space="0" w:color="auto"/>
      </w:divBdr>
    </w:div>
    <w:div w:id="1709602922">
      <w:bodyDiv w:val="1"/>
      <w:marLeft w:val="0"/>
      <w:marRight w:val="0"/>
      <w:marTop w:val="0"/>
      <w:marBottom w:val="0"/>
      <w:divBdr>
        <w:top w:val="none" w:sz="0" w:space="0" w:color="auto"/>
        <w:left w:val="none" w:sz="0" w:space="0" w:color="auto"/>
        <w:bottom w:val="none" w:sz="0" w:space="0" w:color="auto"/>
        <w:right w:val="none" w:sz="0" w:space="0" w:color="auto"/>
      </w:divBdr>
    </w:div>
    <w:div w:id="1815952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chart" Target="charts/chart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7.emf"/><Relationship Id="rId10" Type="http://schemas.openxmlformats.org/officeDocument/2006/relationships/footer" Target="footer2.xml"/><Relationship Id="rId19"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image" Target="media/image6.emf"/><Relationship Id="rId27" Type="http://schemas.microsoft.com/office/2011/relationships/people" Target="peop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emf"/></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istat.it/it/files/2015/12/IWP_19_201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oleObject" Target="file:///\\bosnia\Bosnia5\DCCN\NOE_benchmark\Report%20-%20il%20NOE%20nei%20Conti%20Nazionali%20-%20bench19\Report%20ottobre%202019\lavoro\prospetti%20ediz%20ott201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bosnia\Bosnia5\DCCN\NOE_benchmark\Report%20-%20il%20NOE%20nei%20Conti%20Nazionali%20-%20bench19\Report%20ottobre%202019\lavoro\prospetti%20ediz%20ott2019.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e.vaccaro\AppData\Local\Temp\Prospetti%20economia%20non%20osserv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vaccaro\AppData\Local\Temp\Prospetti%20economia%20non%20osserv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e.vaccaro\AppData\Local\Temp\Prospetti%20economia%20non%20osserva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e.vaccaro\AppData\Local\Temp\Prospetti%20economia%20non%20osservata.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e.vaccaro\AppData\Local\Temp\Prospetti%20economia%20non%20osserv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121691256811388E-2"/>
          <c:y val="0.16450196903639688"/>
          <c:w val="0.93853184611063889"/>
          <c:h val="0.72478004085031689"/>
        </c:manualLayout>
      </c:layout>
      <c:barChart>
        <c:barDir val="col"/>
        <c:grouping val="stacked"/>
        <c:varyColors val="0"/>
        <c:ser>
          <c:idx val="0"/>
          <c:order val="0"/>
          <c:tx>
            <c:strRef>
              <c:f>'Figura 1 pag3'!$A$4</c:f>
              <c:strCache>
                <c:ptCount val="1"/>
                <c:pt idx="0">
                  <c:v>Sottodichiarazione</c:v>
                </c:pt>
              </c:strCache>
            </c:strRef>
          </c:tx>
          <c:spPr>
            <a:solidFill>
              <a:srgbClr val="1F497D"/>
            </a:solidFill>
            <a:ln>
              <a:noFill/>
            </a:ln>
            <a:effectLst/>
          </c:spPr>
          <c:invertIfNegative val="0"/>
          <c:dLbls>
            <c:spPr>
              <a:solidFill>
                <a:srgbClr val="1F497D"/>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Narrow" panose="020B0606020202030204" pitchFamily="34" charset="0"/>
                    <a:ea typeface="+mn-ea"/>
                    <a:cs typeface="Arial" panose="020B0604020202020204" pitchFamily="34" charset="0"/>
                  </a:defRPr>
                </a:pPr>
                <a:endParaRPr lang="it-I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'Figura 1 pag3'!$B$3:$E$3</c:f>
              <c:numCache>
                <c:formatCode>General</c:formatCode>
                <c:ptCount val="4"/>
                <c:pt idx="0">
                  <c:v>2014</c:v>
                </c:pt>
                <c:pt idx="1">
                  <c:v>2015</c:v>
                </c:pt>
                <c:pt idx="2">
                  <c:v>2016</c:v>
                </c:pt>
                <c:pt idx="3">
                  <c:v>2017</c:v>
                </c:pt>
              </c:numCache>
            </c:numRef>
          </c:cat>
          <c:val>
            <c:numRef>
              <c:f>'Figura 1 pag3'!$B$4:$E$4</c:f>
              <c:numCache>
                <c:formatCode>0.0</c:formatCode>
                <c:ptCount val="4"/>
                <c:pt idx="0">
                  <c:v>46.484811292336794</c:v>
                </c:pt>
                <c:pt idx="1">
                  <c:v>44.849827671328875</c:v>
                </c:pt>
                <c:pt idx="2">
                  <c:v>45.830983134422496</c:v>
                </c:pt>
                <c:pt idx="3">
                  <c:v>46.082109907206998</c:v>
                </c:pt>
              </c:numCache>
            </c:numRef>
          </c:val>
          <c:extLst xmlns:c16r2="http://schemas.microsoft.com/office/drawing/2015/06/chart">
            <c:ext xmlns:c16="http://schemas.microsoft.com/office/drawing/2014/chart" uri="{C3380CC4-5D6E-409C-BE32-E72D297353CC}">
              <c16:uniqueId val="{00000000-536F-4CE9-82E8-7D7796B9B1C4}"/>
            </c:ext>
          </c:extLst>
        </c:ser>
        <c:ser>
          <c:idx val="1"/>
          <c:order val="1"/>
          <c:tx>
            <c:strRef>
              <c:f>'Figura 1 pag3'!$A$5</c:f>
              <c:strCache>
                <c:ptCount val="1"/>
                <c:pt idx="0">
                  <c:v>Lavoro irregolare</c:v>
                </c:pt>
              </c:strCache>
            </c:strRef>
          </c:tx>
          <c:spPr>
            <a:solidFill>
              <a:srgbClr val="E4261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Arial" panose="020B0604020202020204" pitchFamily="34" charset="0"/>
                  </a:defRPr>
                </a:pPr>
                <a:endParaRPr lang="it-I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'Figura 1 pag3'!$B$3:$E$3</c:f>
              <c:numCache>
                <c:formatCode>General</c:formatCode>
                <c:ptCount val="4"/>
                <c:pt idx="0">
                  <c:v>2014</c:v>
                </c:pt>
                <c:pt idx="1">
                  <c:v>2015</c:v>
                </c:pt>
                <c:pt idx="2">
                  <c:v>2016</c:v>
                </c:pt>
                <c:pt idx="3">
                  <c:v>2017</c:v>
                </c:pt>
              </c:numCache>
            </c:numRef>
          </c:cat>
          <c:val>
            <c:numRef>
              <c:f>'Figura 1 pag3'!$B$5:$E$5</c:f>
              <c:numCache>
                <c:formatCode>0.0</c:formatCode>
                <c:ptCount val="4"/>
                <c:pt idx="0">
                  <c:v>38.153518248802612</c:v>
                </c:pt>
                <c:pt idx="1">
                  <c:v>38.077312882840403</c:v>
                </c:pt>
                <c:pt idx="2">
                  <c:v>37.791809271763583</c:v>
                </c:pt>
                <c:pt idx="3">
                  <c:v>37.348493071417472</c:v>
                </c:pt>
              </c:numCache>
            </c:numRef>
          </c:val>
          <c:extLst xmlns:c16r2="http://schemas.microsoft.com/office/drawing/2015/06/chart">
            <c:ext xmlns:c16="http://schemas.microsoft.com/office/drawing/2014/chart" uri="{C3380CC4-5D6E-409C-BE32-E72D297353CC}">
              <c16:uniqueId val="{00000001-536F-4CE9-82E8-7D7796B9B1C4}"/>
            </c:ext>
          </c:extLst>
        </c:ser>
        <c:ser>
          <c:idx val="2"/>
          <c:order val="2"/>
          <c:tx>
            <c:strRef>
              <c:f>'Figura 1 pag3'!$A$6</c:f>
              <c:strCache>
                <c:ptCount val="1"/>
                <c:pt idx="0">
                  <c:v>Altro</c:v>
                </c:pt>
              </c:strCache>
            </c:strRef>
          </c:tx>
          <c:spPr>
            <a:solidFill>
              <a:srgbClr val="00648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Narrow" panose="020B0606020202030204" pitchFamily="34" charset="0"/>
                    <a:ea typeface="+mn-ea"/>
                    <a:cs typeface="Arial" panose="020B0604020202020204" pitchFamily="34" charset="0"/>
                  </a:defRPr>
                </a:pPr>
                <a:endParaRPr lang="it-I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'Figura 1 pag3'!$B$3:$E$3</c:f>
              <c:numCache>
                <c:formatCode>General</c:formatCode>
                <c:ptCount val="4"/>
                <c:pt idx="0">
                  <c:v>2014</c:v>
                </c:pt>
                <c:pt idx="1">
                  <c:v>2015</c:v>
                </c:pt>
                <c:pt idx="2">
                  <c:v>2016</c:v>
                </c:pt>
                <c:pt idx="3">
                  <c:v>2017</c:v>
                </c:pt>
              </c:numCache>
            </c:numRef>
          </c:cat>
          <c:val>
            <c:numRef>
              <c:f>'Figura 1 pag3'!$B$6:$E$6</c:f>
              <c:numCache>
                <c:formatCode>0.0</c:formatCode>
                <c:ptCount val="4"/>
                <c:pt idx="0">
                  <c:v>7.5966066584507885</c:v>
                </c:pt>
                <c:pt idx="1">
                  <c:v>8.3604026793214565</c:v>
                </c:pt>
                <c:pt idx="2">
                  <c:v>7.6733842707100077</c:v>
                </c:pt>
                <c:pt idx="3">
                  <c:v>7.6074452683468161</c:v>
                </c:pt>
              </c:numCache>
            </c:numRef>
          </c:val>
          <c:extLst xmlns:c16r2="http://schemas.microsoft.com/office/drawing/2015/06/chart">
            <c:ext xmlns:c16="http://schemas.microsoft.com/office/drawing/2014/chart" uri="{C3380CC4-5D6E-409C-BE32-E72D297353CC}">
              <c16:uniqueId val="{00000002-536F-4CE9-82E8-7D7796B9B1C4}"/>
            </c:ext>
          </c:extLst>
        </c:ser>
        <c:ser>
          <c:idx val="3"/>
          <c:order val="3"/>
          <c:tx>
            <c:strRef>
              <c:f>'Figura 1 pag3'!$A$7</c:f>
              <c:strCache>
                <c:ptCount val="1"/>
                <c:pt idx="0">
                  <c:v>Attività illegali </c:v>
                </c:pt>
              </c:strCache>
            </c:strRef>
          </c:tx>
          <c:spPr>
            <a:solidFill>
              <a:srgbClr val="9BBB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Arial" panose="020B0604020202020204" pitchFamily="34" charset="0"/>
                  </a:defRPr>
                </a:pPr>
                <a:endParaRPr lang="it-I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'Figura 1 pag3'!$B$3:$E$3</c:f>
              <c:numCache>
                <c:formatCode>General</c:formatCode>
                <c:ptCount val="4"/>
                <c:pt idx="0">
                  <c:v>2014</c:v>
                </c:pt>
                <c:pt idx="1">
                  <c:v>2015</c:v>
                </c:pt>
                <c:pt idx="2">
                  <c:v>2016</c:v>
                </c:pt>
                <c:pt idx="3">
                  <c:v>2017</c:v>
                </c:pt>
              </c:numCache>
            </c:numRef>
          </c:cat>
          <c:val>
            <c:numRef>
              <c:f>'Figura 1 pag3'!$B$7:$E$7</c:f>
              <c:numCache>
                <c:formatCode>0.0</c:formatCode>
                <c:ptCount val="4"/>
                <c:pt idx="0">
                  <c:v>7.7650638004098402</c:v>
                </c:pt>
                <c:pt idx="1">
                  <c:v>8.230290544043557</c:v>
                </c:pt>
                <c:pt idx="2">
                  <c:v>8.7038233231038227</c:v>
                </c:pt>
                <c:pt idx="3">
                  <c:v>8.9619517530287105</c:v>
                </c:pt>
              </c:numCache>
            </c:numRef>
          </c:val>
          <c:extLst xmlns:c16r2="http://schemas.microsoft.com/office/drawing/2015/06/chart">
            <c:ext xmlns:c16="http://schemas.microsoft.com/office/drawing/2014/chart" uri="{C3380CC4-5D6E-409C-BE32-E72D297353CC}">
              <c16:uniqueId val="{00000003-536F-4CE9-82E8-7D7796B9B1C4}"/>
            </c:ext>
          </c:extLst>
        </c:ser>
        <c:dLbls>
          <c:showLegendKey val="0"/>
          <c:showVal val="1"/>
          <c:showCatName val="0"/>
          <c:showSerName val="0"/>
          <c:showPercent val="0"/>
          <c:showBubbleSize val="0"/>
        </c:dLbls>
        <c:gapWidth val="80"/>
        <c:overlap val="100"/>
        <c:axId val="43854464"/>
        <c:axId val="43876736"/>
      </c:barChart>
      <c:catAx>
        <c:axId val="43854464"/>
        <c:scaling>
          <c:orientation val="minMax"/>
        </c:scaling>
        <c:delete val="0"/>
        <c:axPos val="b"/>
        <c:majorGridlines>
          <c:spPr>
            <a:ln>
              <a:solidFill>
                <a:sysClr val="window" lastClr="FFFFFF"/>
              </a:solidFill>
            </a:ln>
          </c:spPr>
        </c:majorGridlines>
        <c:numFmt formatCode="General" sourceLinked="1"/>
        <c:majorTickMark val="none"/>
        <c:minorTickMark val="none"/>
        <c:tickLblPos val="nextTo"/>
        <c:spPr>
          <a:noFill/>
          <a:ln w="9525" cap="flat" cmpd="sng" algn="ctr">
            <a:solidFill>
              <a:sysClr val="window" lastClr="FFFFFF"/>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Arial Narrow" panose="020B0606020202030204" pitchFamily="34" charset="0"/>
                <a:ea typeface="+mn-ea"/>
                <a:cs typeface="Arial" panose="020B0604020202020204" pitchFamily="34" charset="0"/>
              </a:defRPr>
            </a:pPr>
            <a:endParaRPr lang="it-IT"/>
          </a:p>
        </c:txPr>
        <c:crossAx val="43876736"/>
        <c:crosses val="autoZero"/>
        <c:auto val="1"/>
        <c:lblAlgn val="ctr"/>
        <c:lblOffset val="100"/>
        <c:noMultiLvlLbl val="0"/>
      </c:catAx>
      <c:valAx>
        <c:axId val="43876736"/>
        <c:scaling>
          <c:orientation val="minMax"/>
          <c:max val="100"/>
        </c:scaling>
        <c:delete val="0"/>
        <c:axPos val="l"/>
        <c:majorGridlines>
          <c:spPr>
            <a:ln w="9525" cap="flat" cmpd="sng" algn="ctr">
              <a:solidFill>
                <a:sysClr val="window" lastClr="FFFFFF"/>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Arial" panose="020B0604020202020204" pitchFamily="34" charset="0"/>
              </a:defRPr>
            </a:pPr>
            <a:endParaRPr lang="it-IT"/>
          </a:p>
        </c:txPr>
        <c:crossAx val="43854464"/>
        <c:crosses val="autoZero"/>
        <c:crossBetween val="between"/>
      </c:valAx>
      <c:spPr>
        <a:noFill/>
        <a:ln>
          <a:solidFill>
            <a:sysClr val="window" lastClr="FFFFFF"/>
          </a:solid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Arial" panose="020B0604020202020204" pitchFamily="34" charset="0"/>
            </a:defRPr>
          </a:pPr>
          <a:endParaRPr lang="it-IT"/>
        </a:p>
      </c:txPr>
    </c:legend>
    <c:plotVisOnly val="1"/>
    <c:dispBlanksAs val="gap"/>
    <c:showDLblsOverMax val="0"/>
  </c:chart>
  <c:spPr>
    <a:noFill/>
    <a:ln w="9525" cap="flat" cmpd="sng" algn="ctr">
      <a:noFill/>
      <a:round/>
    </a:ln>
    <a:effectLst/>
  </c:spPr>
  <c:txPr>
    <a:bodyPr/>
    <a:lstStyle/>
    <a:p>
      <a:pPr>
        <a:defRPr sz="900">
          <a:latin typeface="Arial Narrow" panose="020B0606020202030204" pitchFamily="34" charset="0"/>
          <a:cs typeface="Arial" panose="020B0604020202020204" pitchFamily="34" charset="0"/>
        </a:defRPr>
      </a:pPr>
      <a:endParaRPr lang="it-I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38236305081744"/>
          <c:y val="0.16141520616374572"/>
          <c:w val="0.67471242552167765"/>
          <c:h val="0.81175419378432745"/>
        </c:manualLayout>
      </c:layout>
      <c:barChart>
        <c:barDir val="bar"/>
        <c:grouping val="stacked"/>
        <c:varyColors val="0"/>
        <c:ser>
          <c:idx val="0"/>
          <c:order val="0"/>
          <c:tx>
            <c:strRef>
              <c:f>'Figura 2 pag4'!$B$4</c:f>
              <c:strCache>
                <c:ptCount val="1"/>
                <c:pt idx="0">
                  <c:v>Sottodichiarazione</c:v>
                </c:pt>
              </c:strCache>
            </c:strRef>
          </c:tx>
          <c:spPr>
            <a:solidFill>
              <a:srgbClr val="1F497D"/>
            </a:solidFill>
          </c:spPr>
          <c:invertIfNegative val="0"/>
          <c:dLbls>
            <c:dLbl>
              <c:idx val="0"/>
              <c:layout>
                <c:manualLayout>
                  <c:x val="2.0155195001511642E-2"/>
                  <c:y val="0"/>
                </c:manualLayout>
              </c:layout>
              <c:showLegendKey val="0"/>
              <c:showVal val="1"/>
              <c:showCatName val="0"/>
              <c:showSerName val="0"/>
              <c:showPercent val="0"/>
              <c:showBubbleSize val="0"/>
            </c:dLbl>
            <c:dLbl>
              <c:idx val="3"/>
              <c:layout>
                <c:manualLayout>
                  <c:x val="-2.0162240425236526E-3"/>
                  <c:y val="1.2700025400050809E-6"/>
                </c:manualLayout>
              </c:layout>
              <c:showLegendKey val="0"/>
              <c:showVal val="1"/>
              <c:showCatName val="0"/>
              <c:showSerName val="0"/>
              <c:showPercent val="0"/>
              <c:showBubbleSize val="0"/>
            </c:dLbl>
            <c:dLbl>
              <c:idx val="8"/>
              <c:delete val="1"/>
            </c:dLbl>
            <c:numFmt formatCode="#,##0.0" sourceLinked="0"/>
            <c:spPr>
              <a:noFill/>
              <a:ln>
                <a:noFill/>
              </a:ln>
              <a:effectLst/>
            </c:spPr>
            <c:txPr>
              <a:bodyPr/>
              <a:lstStyle/>
              <a:p>
                <a:pPr>
                  <a:defRPr sz="700">
                    <a:solidFill>
                      <a:schemeClr val="bg1"/>
                    </a:solidFill>
                  </a:defRPr>
                </a:pPr>
                <a:endParaRPr lang="it-I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'Figura 2 pag4'!$A$5:$A$16</c:f>
              <c:strCache>
                <c:ptCount val="12"/>
                <c:pt idx="0">
                  <c:v>Agricoltura, silvicoltura e pesca</c:v>
                </c:pt>
                <c:pt idx="1">
                  <c:v>Produz. beni alimentari e di consumo</c:v>
                </c:pt>
                <c:pt idx="2">
                  <c:v>Produz. beni di investim.</c:v>
                </c:pt>
                <c:pt idx="3">
                  <c:v>Produz. beni intermedi, energia e rifiuti</c:v>
                </c:pt>
                <c:pt idx="4">
                  <c:v>Costruzioni</c:v>
                </c:pt>
                <c:pt idx="5">
                  <c:v>Commercio all'ingrosso e al dettaglio, trasporti e magazzinaggio, attività di alloggio e ristorazione</c:v>
                </c:pt>
                <c:pt idx="6">
                  <c:v>Servizi professionali</c:v>
                </c:pt>
                <c:pt idx="7">
                  <c:v>Altri servizi alle imprese</c:v>
                </c:pt>
                <c:pt idx="8">
                  <c:v>Servizi generali delle A.A.P.P.</c:v>
                </c:pt>
                <c:pt idx="9">
                  <c:v>Istruzione, sanità e assistenza sociale</c:v>
                </c:pt>
                <c:pt idx="10">
                  <c:v>Altri servizi alle persone</c:v>
                </c:pt>
                <c:pt idx="11">
                  <c:v>TOTALE</c:v>
                </c:pt>
              </c:strCache>
            </c:strRef>
          </c:cat>
          <c:val>
            <c:numRef>
              <c:f>'Figura 2 pag4'!$B$5:$B$16</c:f>
              <c:numCache>
                <c:formatCode>_-* #,##0.0_-;\-* #,##0.0_-;_-* "-"??_-;_-@_-</c:formatCode>
                <c:ptCount val="12"/>
                <c:pt idx="0">
                  <c:v>0</c:v>
                </c:pt>
                <c:pt idx="1">
                  <c:v>9.217377938510646</c:v>
                </c:pt>
                <c:pt idx="2">
                  <c:v>2.4123465971835887</c:v>
                </c:pt>
                <c:pt idx="3">
                  <c:v>0.54204499387326499</c:v>
                </c:pt>
                <c:pt idx="4">
                  <c:v>11.915026725207904</c:v>
                </c:pt>
                <c:pt idx="5">
                  <c:v>13.216000518734203</c:v>
                </c:pt>
                <c:pt idx="6">
                  <c:v>11.562939231079307</c:v>
                </c:pt>
                <c:pt idx="7">
                  <c:v>2.743948352031941</c:v>
                </c:pt>
                <c:pt idx="8">
                  <c:v>0</c:v>
                </c:pt>
                <c:pt idx="9">
                  <c:v>2.5159836313332589</c:v>
                </c:pt>
                <c:pt idx="10">
                  <c:v>13.561915288660799</c:v>
                </c:pt>
                <c:pt idx="11">
                  <c:v>6.2371888556294284</c:v>
                </c:pt>
              </c:numCache>
            </c:numRef>
          </c:val>
          <c:extLst xmlns:c16r2="http://schemas.microsoft.com/office/drawing/2015/06/chart">
            <c:ext xmlns:c16="http://schemas.microsoft.com/office/drawing/2014/chart" uri="{C3380CC4-5D6E-409C-BE32-E72D297353CC}">
              <c16:uniqueId val="{00000005-4649-4A1F-B395-EC44538228E1}"/>
            </c:ext>
          </c:extLst>
        </c:ser>
        <c:ser>
          <c:idx val="1"/>
          <c:order val="1"/>
          <c:tx>
            <c:strRef>
              <c:f>'Figura 2 pag4'!$C$4</c:f>
              <c:strCache>
                <c:ptCount val="1"/>
                <c:pt idx="0">
                  <c:v>Lavoro irregolare</c:v>
                </c:pt>
              </c:strCache>
            </c:strRef>
          </c:tx>
          <c:spPr>
            <a:solidFill>
              <a:srgbClr val="E42618"/>
            </a:solidFill>
          </c:spPr>
          <c:invertIfNegative val="0"/>
          <c:dLbls>
            <c:dLbl>
              <c:idx val="3"/>
              <c:layout>
                <c:manualLayout>
                  <c:x val="2.0151133501259454E-3"/>
                  <c:y val="0"/>
                </c:manualLayout>
              </c:layout>
              <c:showLegendKey val="0"/>
              <c:showVal val="1"/>
              <c:showCatName val="0"/>
              <c:showSerName val="0"/>
              <c:showPercent val="0"/>
              <c:showBubbleSize val="0"/>
            </c:dLbl>
            <c:dLbl>
              <c:idx val="8"/>
              <c:delete val="1"/>
            </c:dLbl>
            <c:dLbl>
              <c:idx val="10"/>
              <c:layout>
                <c:manualLayout>
                  <c:x val="-2.015393800013902E-2"/>
                  <c:y val="0"/>
                </c:manualLayout>
              </c:layout>
              <c:showLegendKey val="0"/>
              <c:showVal val="1"/>
              <c:showCatName val="0"/>
              <c:showSerName val="0"/>
              <c:showPercent val="0"/>
              <c:showBubbleSize val="0"/>
            </c:dLbl>
            <c:numFmt formatCode="#,##0.0" sourceLinked="0"/>
            <c:spPr>
              <a:noFill/>
              <a:ln>
                <a:noFill/>
              </a:ln>
              <a:effectLst/>
            </c:spPr>
            <c:txPr>
              <a:bodyPr/>
              <a:lstStyle/>
              <a:p>
                <a:pPr>
                  <a:defRPr sz="700">
                    <a:solidFill>
                      <a:schemeClr val="bg1"/>
                    </a:solidFill>
                  </a:defRPr>
                </a:pPr>
                <a:endParaRPr lang="it-I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'Figura 2 pag4'!$A$5:$A$16</c:f>
              <c:strCache>
                <c:ptCount val="12"/>
                <c:pt idx="0">
                  <c:v>Agricoltura, silvicoltura e pesca</c:v>
                </c:pt>
                <c:pt idx="1">
                  <c:v>Produz. beni alimentari e di consumo</c:v>
                </c:pt>
                <c:pt idx="2">
                  <c:v>Produz. beni di investim.</c:v>
                </c:pt>
                <c:pt idx="3">
                  <c:v>Produz. beni intermedi, energia e rifiuti</c:v>
                </c:pt>
                <c:pt idx="4">
                  <c:v>Costruzioni</c:v>
                </c:pt>
                <c:pt idx="5">
                  <c:v>Commercio all'ingrosso e al dettaglio, trasporti e magazzinaggio, attività di alloggio e ristorazione</c:v>
                </c:pt>
                <c:pt idx="6">
                  <c:v>Servizi professionali</c:v>
                </c:pt>
                <c:pt idx="7">
                  <c:v>Altri servizi alle imprese</c:v>
                </c:pt>
                <c:pt idx="8">
                  <c:v>Servizi generali delle A.A.P.P.</c:v>
                </c:pt>
                <c:pt idx="9">
                  <c:v>Istruzione, sanità e assistenza sociale</c:v>
                </c:pt>
                <c:pt idx="10">
                  <c:v>Altri servizi alle persone</c:v>
                </c:pt>
                <c:pt idx="11">
                  <c:v>TOTALE</c:v>
                </c:pt>
              </c:strCache>
            </c:strRef>
          </c:cat>
          <c:val>
            <c:numRef>
              <c:f>'Figura 2 pag4'!$C$5:$C$16</c:f>
              <c:numCache>
                <c:formatCode>_-* #,##0.0_-;\-* #,##0.0_-;_-* "-"??_-;_-@_-</c:formatCode>
                <c:ptCount val="12"/>
                <c:pt idx="0">
                  <c:v>16.922415220769086</c:v>
                </c:pt>
                <c:pt idx="1">
                  <c:v>3.0246420548067992</c:v>
                </c:pt>
                <c:pt idx="2">
                  <c:v>1.4345540022991095</c:v>
                </c:pt>
                <c:pt idx="3">
                  <c:v>1.0672598352639999</c:v>
                </c:pt>
                <c:pt idx="4">
                  <c:v>10.2125839473761</c:v>
                </c:pt>
                <c:pt idx="5">
                  <c:v>7.8594908889621315</c:v>
                </c:pt>
                <c:pt idx="6">
                  <c:v>4.6304340217582478</c:v>
                </c:pt>
                <c:pt idx="7">
                  <c:v>1.66328619777687</c:v>
                </c:pt>
                <c:pt idx="8">
                  <c:v>0</c:v>
                </c:pt>
                <c:pt idx="9">
                  <c:v>6.0436228858388823</c:v>
                </c:pt>
                <c:pt idx="10">
                  <c:v>22.656477995824901</c:v>
                </c:pt>
                <c:pt idx="11">
                  <c:v>5.0550985019712797</c:v>
                </c:pt>
              </c:numCache>
            </c:numRef>
          </c:val>
          <c:extLst xmlns:c16r2="http://schemas.microsoft.com/office/drawing/2015/06/chart">
            <c:ext xmlns:c16="http://schemas.microsoft.com/office/drawing/2014/chart" uri="{C3380CC4-5D6E-409C-BE32-E72D297353CC}">
              <c16:uniqueId val="{0000000B-4649-4A1F-B395-EC44538228E1}"/>
            </c:ext>
          </c:extLst>
        </c:ser>
        <c:ser>
          <c:idx val="2"/>
          <c:order val="2"/>
          <c:tx>
            <c:strRef>
              <c:f>'Figura 2 pag4'!$D$4</c:f>
              <c:strCache>
                <c:ptCount val="1"/>
                <c:pt idx="0">
                  <c:v>Altro</c:v>
                </c:pt>
              </c:strCache>
            </c:strRef>
          </c:tx>
          <c:spPr>
            <a:solidFill>
              <a:srgbClr val="9BBB59"/>
            </a:solidFill>
          </c:spPr>
          <c:invertIfNegative val="0"/>
          <c:dLbls>
            <c:dLbl>
              <c:idx val="0"/>
              <c:delete val="1"/>
            </c:dLbl>
            <c:dLbl>
              <c:idx val="1"/>
              <c:delete val="1"/>
            </c:dLbl>
            <c:dLbl>
              <c:idx val="2"/>
              <c:delete val="1"/>
            </c:dLbl>
            <c:dLbl>
              <c:idx val="3"/>
              <c:delete val="1"/>
            </c:dLbl>
            <c:dLbl>
              <c:idx val="4"/>
              <c:delete val="1"/>
            </c:dLbl>
            <c:dLbl>
              <c:idx val="6"/>
              <c:delete val="1"/>
            </c:dLbl>
            <c:dLbl>
              <c:idx val="8"/>
              <c:delete val="1"/>
            </c:dLbl>
            <c:dLbl>
              <c:idx val="9"/>
              <c:delete val="1"/>
            </c:dLbl>
            <c:dLbl>
              <c:idx val="10"/>
              <c:layout>
                <c:manualLayout>
                  <c:x val="-1.0076969000069503E-2"/>
                  <c:y val="4.2327254010930638E-7"/>
                </c:manualLayout>
              </c:layout>
              <c:showLegendKey val="0"/>
              <c:showVal val="1"/>
              <c:showCatName val="0"/>
              <c:showSerName val="0"/>
              <c:showPercent val="0"/>
              <c:showBubbleSize val="0"/>
            </c:dLbl>
            <c:spPr>
              <a:noFill/>
              <a:ln>
                <a:noFill/>
              </a:ln>
              <a:effectLst/>
            </c:spPr>
            <c:txPr>
              <a:bodyPr/>
              <a:lstStyle/>
              <a:p>
                <a:pPr>
                  <a:defRPr sz="700">
                    <a:solidFill>
                      <a:schemeClr val="tx1"/>
                    </a:solidFill>
                  </a:defRPr>
                </a:pPr>
                <a:endParaRPr lang="it-I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'Figura 2 pag4'!$A$5:$A$16</c:f>
              <c:strCache>
                <c:ptCount val="12"/>
                <c:pt idx="0">
                  <c:v>Agricoltura, silvicoltura e pesca</c:v>
                </c:pt>
                <c:pt idx="1">
                  <c:v>Produz. beni alimentari e di consumo</c:v>
                </c:pt>
                <c:pt idx="2">
                  <c:v>Produz. beni di investim.</c:v>
                </c:pt>
                <c:pt idx="3">
                  <c:v>Produz. beni intermedi, energia e rifiuti</c:v>
                </c:pt>
                <c:pt idx="4">
                  <c:v>Costruzioni</c:v>
                </c:pt>
                <c:pt idx="5">
                  <c:v>Commercio all'ingrosso e al dettaglio, trasporti e magazzinaggio, attività di alloggio e ristorazione</c:v>
                </c:pt>
                <c:pt idx="6">
                  <c:v>Servizi professionali</c:v>
                </c:pt>
                <c:pt idx="7">
                  <c:v>Altri servizi alle imprese</c:v>
                </c:pt>
                <c:pt idx="8">
                  <c:v>Servizi generali delle A.A.P.P.</c:v>
                </c:pt>
                <c:pt idx="9">
                  <c:v>Istruzione, sanità e assistenza sociale</c:v>
                </c:pt>
                <c:pt idx="10">
                  <c:v>Altri servizi alle persone</c:v>
                </c:pt>
                <c:pt idx="11">
                  <c:v>TOTALE</c:v>
                </c:pt>
              </c:strCache>
            </c:strRef>
          </c:cat>
          <c:val>
            <c:numRef>
              <c:f>'Figura 2 pag4'!$D$5:$D$16</c:f>
              <c:numCache>
                <c:formatCode>_-* #,##0.0_-;\-* #,##0.0_-;_-* "-"??_-;_-@_-</c:formatCode>
                <c:ptCount val="12"/>
                <c:pt idx="0">
                  <c:v>0</c:v>
                </c:pt>
                <c:pt idx="1">
                  <c:v>0</c:v>
                </c:pt>
                <c:pt idx="2">
                  <c:v>0</c:v>
                </c:pt>
                <c:pt idx="3">
                  <c:v>0</c:v>
                </c:pt>
                <c:pt idx="4">
                  <c:v>0</c:v>
                </c:pt>
                <c:pt idx="5">
                  <c:v>2.9540360055848591</c:v>
                </c:pt>
                <c:pt idx="6">
                  <c:v>0</c:v>
                </c:pt>
                <c:pt idx="7">
                  <c:v>1.3560079142888009</c:v>
                </c:pt>
                <c:pt idx="8">
                  <c:v>0</c:v>
                </c:pt>
                <c:pt idx="9">
                  <c:v>0</c:v>
                </c:pt>
                <c:pt idx="10">
                  <c:v>0.71653833321285298</c:v>
                </c:pt>
                <c:pt idx="11">
                  <c:v>1.0296636361288398</c:v>
                </c:pt>
              </c:numCache>
            </c:numRef>
          </c:val>
          <c:extLst xmlns:c16r2="http://schemas.microsoft.com/office/drawing/2015/06/chart">
            <c:ext xmlns:c16="http://schemas.microsoft.com/office/drawing/2014/chart" uri="{C3380CC4-5D6E-409C-BE32-E72D297353CC}">
              <c16:uniqueId val="{0000000C-4649-4A1F-B395-EC44538228E1}"/>
            </c:ext>
          </c:extLst>
        </c:ser>
        <c:ser>
          <c:idx val="4"/>
          <c:order val="3"/>
          <c:tx>
            <c:strRef>
              <c:f>'Figura 2 pag4'!$E$4</c:f>
              <c:strCache>
                <c:ptCount val="1"/>
              </c:strCache>
            </c:strRef>
          </c:tx>
          <c:spPr>
            <a:noFill/>
          </c:spPr>
          <c:invertIfNegative val="0"/>
          <c:dLbls>
            <c:numFmt formatCode="#,##0.0" sourceLinked="0"/>
            <c:spPr>
              <a:noFill/>
              <a:ln>
                <a:noFill/>
              </a:ln>
              <a:effectLst/>
            </c:spPr>
            <c:txPr>
              <a:bodyPr/>
              <a:lstStyle/>
              <a:p>
                <a:pPr>
                  <a:defRPr sz="700"/>
                </a:pPr>
                <a:endParaRPr lang="it-IT"/>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'Figura 2 pag4'!$A$5:$A$16</c:f>
              <c:strCache>
                <c:ptCount val="12"/>
                <c:pt idx="0">
                  <c:v>Agricoltura, silvicoltura e pesca</c:v>
                </c:pt>
                <c:pt idx="1">
                  <c:v>Produz. beni alimentari e di consumo</c:v>
                </c:pt>
                <c:pt idx="2">
                  <c:v>Produz. beni di investim.</c:v>
                </c:pt>
                <c:pt idx="3">
                  <c:v>Produz. beni intermedi, energia e rifiuti</c:v>
                </c:pt>
                <c:pt idx="4">
                  <c:v>Costruzioni</c:v>
                </c:pt>
                <c:pt idx="5">
                  <c:v>Commercio all'ingrosso e al dettaglio, trasporti e magazzinaggio, attività di alloggio e ristorazione</c:v>
                </c:pt>
                <c:pt idx="6">
                  <c:v>Servizi professionali</c:v>
                </c:pt>
                <c:pt idx="7">
                  <c:v>Altri servizi alle imprese</c:v>
                </c:pt>
                <c:pt idx="8">
                  <c:v>Servizi generali delle A.A.P.P.</c:v>
                </c:pt>
                <c:pt idx="9">
                  <c:v>Istruzione, sanità e assistenza sociale</c:v>
                </c:pt>
                <c:pt idx="10">
                  <c:v>Altri servizi alle persone</c:v>
                </c:pt>
                <c:pt idx="11">
                  <c:v>TOTALE</c:v>
                </c:pt>
              </c:strCache>
            </c:strRef>
          </c:cat>
          <c:val>
            <c:numRef>
              <c:f>'Figura 2 pag4'!$E$5:$E$16</c:f>
              <c:numCache>
                <c:formatCode>_-* #,##0.0_-;\-* #,##0.0_-;_-* "-"??_-;_-@_-</c:formatCode>
                <c:ptCount val="12"/>
                <c:pt idx="0">
                  <c:v>16.922415220769086</c:v>
                </c:pt>
                <c:pt idx="1">
                  <c:v>12.242019993317401</c:v>
                </c:pt>
                <c:pt idx="2">
                  <c:v>3.8469005994826997</c:v>
                </c:pt>
                <c:pt idx="3">
                  <c:v>1.60930482913727</c:v>
                </c:pt>
                <c:pt idx="4">
                  <c:v>22.127610672584002</c:v>
                </c:pt>
                <c:pt idx="5">
                  <c:v>24.029527413281194</c:v>
                </c:pt>
                <c:pt idx="6">
                  <c:v>16.1933732528375</c:v>
                </c:pt>
                <c:pt idx="7">
                  <c:v>5.7632424640976225</c:v>
                </c:pt>
                <c:pt idx="8">
                  <c:v>0</c:v>
                </c:pt>
                <c:pt idx="9">
                  <c:v>8.5596065171721349</c:v>
                </c:pt>
                <c:pt idx="10">
                  <c:v>36.934931617698474</c:v>
                </c:pt>
                <c:pt idx="11">
                  <c:v>12.321950993729599</c:v>
                </c:pt>
              </c:numCache>
            </c:numRef>
          </c:val>
          <c:extLst xmlns:c16r2="http://schemas.microsoft.com/office/drawing/2015/06/chart">
            <c:ext xmlns:c16="http://schemas.microsoft.com/office/drawing/2014/chart" uri="{C3380CC4-5D6E-409C-BE32-E72D297353CC}">
              <c16:uniqueId val="{0000000D-4649-4A1F-B395-EC44538228E1}"/>
            </c:ext>
          </c:extLst>
        </c:ser>
        <c:dLbls>
          <c:showLegendKey val="0"/>
          <c:showVal val="0"/>
          <c:showCatName val="0"/>
          <c:showSerName val="0"/>
          <c:showPercent val="0"/>
          <c:showBubbleSize val="0"/>
        </c:dLbls>
        <c:gapWidth val="80"/>
        <c:overlap val="100"/>
        <c:axId val="72579328"/>
        <c:axId val="72945664"/>
      </c:barChart>
      <c:catAx>
        <c:axId val="72579328"/>
        <c:scaling>
          <c:orientation val="maxMin"/>
        </c:scaling>
        <c:delete val="0"/>
        <c:axPos val="l"/>
        <c:majorGridlines>
          <c:spPr>
            <a:ln>
              <a:solidFill>
                <a:sysClr val="window" lastClr="FFFFFF"/>
              </a:solidFill>
            </a:ln>
          </c:spPr>
        </c:majorGridlines>
        <c:numFmt formatCode="General" sourceLinked="0"/>
        <c:majorTickMark val="out"/>
        <c:minorTickMark val="none"/>
        <c:tickLblPos val="nextTo"/>
        <c:spPr>
          <a:ln>
            <a:solidFill>
              <a:sysClr val="window" lastClr="FFFFFF"/>
            </a:solidFill>
          </a:ln>
        </c:spPr>
        <c:crossAx val="72945664"/>
        <c:crosses val="autoZero"/>
        <c:auto val="1"/>
        <c:lblAlgn val="ctr"/>
        <c:lblOffset val="100"/>
        <c:noMultiLvlLbl val="0"/>
      </c:catAx>
      <c:valAx>
        <c:axId val="72945664"/>
        <c:scaling>
          <c:orientation val="minMax"/>
          <c:max val="40"/>
          <c:min val="0"/>
        </c:scaling>
        <c:delete val="0"/>
        <c:axPos val="t"/>
        <c:majorGridlines>
          <c:spPr>
            <a:ln>
              <a:solidFill>
                <a:sysClr val="window" lastClr="FFFFFF"/>
              </a:solidFill>
            </a:ln>
          </c:spPr>
        </c:majorGridlines>
        <c:numFmt formatCode="#,##0" sourceLinked="0"/>
        <c:majorTickMark val="out"/>
        <c:minorTickMark val="none"/>
        <c:tickLblPos val="low"/>
        <c:spPr>
          <a:ln>
            <a:solidFill>
              <a:sysClr val="window" lastClr="FFFFFF"/>
            </a:solidFill>
          </a:ln>
        </c:spPr>
        <c:crossAx val="72579328"/>
        <c:crosses val="autoZero"/>
        <c:crossBetween val="between"/>
      </c:valAx>
      <c:spPr>
        <a:noFill/>
        <a:ln w="25400">
          <a:noFill/>
        </a:ln>
      </c:spPr>
    </c:plotArea>
    <c:legend>
      <c:legendPos val="t"/>
      <c:layout>
        <c:manualLayout>
          <c:xMode val="edge"/>
          <c:yMode val="edge"/>
          <c:x val="0.29640023456203318"/>
          <c:y val="0"/>
          <c:w val="0.40717413541986386"/>
          <c:h val="8.648262212259325E-2"/>
        </c:manualLayout>
      </c:layout>
      <c:overlay val="0"/>
    </c:legend>
    <c:plotVisOnly val="1"/>
    <c:dispBlanksAs val="gap"/>
    <c:showDLblsOverMax val="0"/>
  </c:chart>
  <c:spPr>
    <a:noFill/>
    <a:ln>
      <a:noFill/>
    </a:ln>
  </c:spPr>
  <c:txPr>
    <a:bodyPr/>
    <a:lstStyle/>
    <a:p>
      <a:pPr>
        <a:defRPr sz="800">
          <a:latin typeface="Arial Narrow" panose="020B0606020202030204" pitchFamily="34" charset="0"/>
        </a:defRPr>
      </a:pPr>
      <a:endParaRPr lang="it-I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66774270989892"/>
          <c:y val="0.31961204867268744"/>
          <c:w val="0.86708940044914784"/>
          <c:h val="0.55431421403085368"/>
        </c:manualLayout>
      </c:layout>
      <c:barChart>
        <c:barDir val="bar"/>
        <c:grouping val="percentStacked"/>
        <c:varyColors val="0"/>
        <c:ser>
          <c:idx val="0"/>
          <c:order val="0"/>
          <c:tx>
            <c:strRef>
              <c:f>'Figura 3 pag4 '!$B$20</c:f>
              <c:strCache>
                <c:ptCount val="1"/>
                <c:pt idx="0">
                  <c:v>Agricoltura, silvicoltura e pesca</c:v>
                </c:pt>
              </c:strCache>
            </c:strRef>
          </c:tx>
          <c:spPr>
            <a:solidFill>
              <a:schemeClr val="accent1"/>
            </a:solidFill>
            <a:ln>
              <a:noFill/>
            </a:ln>
            <a:effectLst/>
          </c:spPr>
          <c:invertIfNegative val="0"/>
          <c:dLbls>
            <c:spPr>
              <a:noFill/>
              <a:ln>
                <a:noFill/>
              </a:ln>
              <a:effectLst/>
            </c:spPr>
            <c:txPr>
              <a:bodyPr rot="0" vert="horz"/>
              <a:lstStyle/>
              <a:p>
                <a:pPr>
                  <a:defRPr b="1"/>
                </a:pPr>
                <a:endParaRPr lang="it-I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3 pag4 '!$A$21:$A$22</c:f>
              <c:strCache>
                <c:ptCount val="2"/>
                <c:pt idx="0">
                  <c:v>Valore aggiunto da Economia sommersa </c:v>
                </c:pt>
                <c:pt idx="1">
                  <c:v>Valore aggiunto</c:v>
                </c:pt>
              </c:strCache>
            </c:strRef>
          </c:cat>
          <c:val>
            <c:numRef>
              <c:f>'Figura 3 pag4 '!$B$21:$B$22</c:f>
              <c:numCache>
                <c:formatCode>0.0</c:formatCode>
                <c:ptCount val="2"/>
                <c:pt idx="0">
                  <c:v>3.0070605710674712</c:v>
                </c:pt>
                <c:pt idx="1">
                  <c:v>2.1895723812753602</c:v>
                </c:pt>
              </c:numCache>
            </c:numRef>
          </c:val>
          <c:extLst xmlns:c16r2="http://schemas.microsoft.com/office/drawing/2015/06/chart">
            <c:ext xmlns:c16="http://schemas.microsoft.com/office/drawing/2014/chart" uri="{C3380CC4-5D6E-409C-BE32-E72D297353CC}">
              <c16:uniqueId val="{00000000-B50A-43B8-AD03-5DD00EEB7F70}"/>
            </c:ext>
          </c:extLst>
        </c:ser>
        <c:ser>
          <c:idx val="1"/>
          <c:order val="1"/>
          <c:tx>
            <c:strRef>
              <c:f>'Figura 3 pag4 '!$C$20</c:f>
              <c:strCache>
                <c:ptCount val="1"/>
                <c:pt idx="0">
                  <c:v>Produz. beni alimentari e di consumo</c:v>
                </c:pt>
              </c:strCache>
            </c:strRef>
          </c:tx>
          <c:spPr>
            <a:solidFill>
              <a:srgbClr val="006482"/>
            </a:solidFill>
            <a:ln>
              <a:noFill/>
            </a:ln>
            <a:effectLst/>
          </c:spPr>
          <c:invertIfNegative val="0"/>
          <c:dLbls>
            <c:spPr>
              <a:noFill/>
              <a:ln>
                <a:noFill/>
              </a:ln>
              <a:effectLst/>
            </c:spPr>
            <c:txPr>
              <a:bodyPr rot="0" vert="horz"/>
              <a:lstStyle/>
              <a:p>
                <a:pPr>
                  <a:defRPr b="1">
                    <a:solidFill>
                      <a:schemeClr val="bg1"/>
                    </a:solidFill>
                  </a:defRPr>
                </a:pPr>
                <a:endParaRPr lang="it-I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3 pag4 '!$A$21:$A$22</c:f>
              <c:strCache>
                <c:ptCount val="2"/>
                <c:pt idx="0">
                  <c:v>Valore aggiunto da Economia sommersa </c:v>
                </c:pt>
                <c:pt idx="1">
                  <c:v>Valore aggiunto</c:v>
                </c:pt>
              </c:strCache>
            </c:strRef>
          </c:cat>
          <c:val>
            <c:numRef>
              <c:f>'Figura 3 pag4 '!$C$21:$C$22</c:f>
              <c:numCache>
                <c:formatCode>0.0</c:formatCode>
                <c:ptCount val="2"/>
                <c:pt idx="0">
                  <c:v>6.3969986392854876</c:v>
                </c:pt>
                <c:pt idx="1">
                  <c:v>6.4387661336330035</c:v>
                </c:pt>
              </c:numCache>
            </c:numRef>
          </c:val>
          <c:extLst xmlns:c16r2="http://schemas.microsoft.com/office/drawing/2015/06/chart">
            <c:ext xmlns:c16="http://schemas.microsoft.com/office/drawing/2014/chart" uri="{C3380CC4-5D6E-409C-BE32-E72D297353CC}">
              <c16:uniqueId val="{00000001-B50A-43B8-AD03-5DD00EEB7F70}"/>
            </c:ext>
          </c:extLst>
        </c:ser>
        <c:ser>
          <c:idx val="2"/>
          <c:order val="2"/>
          <c:tx>
            <c:strRef>
              <c:f>'Figura 3 pag4 '!$D$20</c:f>
              <c:strCache>
                <c:ptCount val="1"/>
                <c:pt idx="0">
                  <c:v>Produz. beni di investim.</c:v>
                </c:pt>
              </c:strCache>
            </c:strRef>
          </c:tx>
          <c:spPr>
            <a:solidFill>
              <a:schemeClr val="bg1">
                <a:lumMod val="50000"/>
              </a:schemeClr>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50A-43B8-AD03-5DD00EEB7F70}"/>
                </c:ext>
              </c:extLst>
            </c:dLbl>
            <c:spPr>
              <a:noFill/>
              <a:ln>
                <a:noFill/>
              </a:ln>
              <a:effectLst/>
            </c:spPr>
            <c:txPr>
              <a:bodyPr rot="0" vert="horz"/>
              <a:lstStyle/>
              <a:p>
                <a:pPr>
                  <a:defRPr b="1"/>
                </a:pPr>
                <a:endParaRPr lang="it-I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3 pag4 '!$A$21:$A$22</c:f>
              <c:strCache>
                <c:ptCount val="2"/>
                <c:pt idx="0">
                  <c:v>Valore aggiunto da Economia sommersa </c:v>
                </c:pt>
                <c:pt idx="1">
                  <c:v>Valore aggiunto</c:v>
                </c:pt>
              </c:strCache>
            </c:strRef>
          </c:cat>
          <c:val>
            <c:numRef>
              <c:f>'Figura 3 pag4 '!$D$21:$D$22</c:f>
              <c:numCache>
                <c:formatCode>0.0</c:formatCode>
                <c:ptCount val="2"/>
                <c:pt idx="0">
                  <c:v>2.0922154430319893</c:v>
                </c:pt>
                <c:pt idx="1">
                  <c:v>6.7015446567117083</c:v>
                </c:pt>
              </c:numCache>
            </c:numRef>
          </c:val>
          <c:extLst xmlns:c16r2="http://schemas.microsoft.com/office/drawing/2015/06/chart">
            <c:ext xmlns:c16="http://schemas.microsoft.com/office/drawing/2014/chart" uri="{C3380CC4-5D6E-409C-BE32-E72D297353CC}">
              <c16:uniqueId val="{00000002-B50A-43B8-AD03-5DD00EEB7F70}"/>
            </c:ext>
          </c:extLst>
        </c:ser>
        <c:ser>
          <c:idx val="3"/>
          <c:order val="3"/>
          <c:tx>
            <c:strRef>
              <c:f>'Figura 3 pag4 '!$E$20</c:f>
              <c:strCache>
                <c:ptCount val="1"/>
                <c:pt idx="0">
                  <c:v>Produz. beni intermedi, energia e rifiuti</c:v>
                </c:pt>
              </c:strCache>
            </c:strRef>
          </c:tx>
          <c:spPr>
            <a:solidFill>
              <a:schemeClr val="bg1">
                <a:lumMod val="75000"/>
              </a:schemeClr>
            </a:solidFill>
            <a:ln>
              <a:noFill/>
            </a:ln>
            <a:effectLst/>
          </c:spPr>
          <c:invertIfNegative val="0"/>
          <c:dLbls>
            <c:spPr>
              <a:noFill/>
              <a:ln>
                <a:noFill/>
              </a:ln>
              <a:effectLst/>
            </c:spPr>
            <c:txPr>
              <a:bodyPr rot="0" vert="horz"/>
              <a:lstStyle/>
              <a:p>
                <a:pPr>
                  <a:defRPr b="1"/>
                </a:pPr>
                <a:endParaRPr lang="it-I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3 pag4 '!$A$21:$A$22</c:f>
              <c:strCache>
                <c:ptCount val="2"/>
                <c:pt idx="0">
                  <c:v>Valore aggiunto da Economia sommersa </c:v>
                </c:pt>
                <c:pt idx="1">
                  <c:v>Valore aggiunto</c:v>
                </c:pt>
              </c:strCache>
            </c:strRef>
          </c:cat>
          <c:val>
            <c:numRef>
              <c:f>'Figura 3 pag4 '!$E$21:$E$22</c:f>
              <c:numCache>
                <c:formatCode>0.0</c:formatCode>
                <c:ptCount val="2"/>
                <c:pt idx="0">
                  <c:v>0.83276831466112622</c:v>
                </c:pt>
                <c:pt idx="1">
                  <c:v>6.3762502768888982</c:v>
                </c:pt>
              </c:numCache>
            </c:numRef>
          </c:val>
          <c:extLst xmlns:c16r2="http://schemas.microsoft.com/office/drawing/2015/06/chart">
            <c:ext xmlns:c16="http://schemas.microsoft.com/office/drawing/2014/chart" uri="{C3380CC4-5D6E-409C-BE32-E72D297353CC}">
              <c16:uniqueId val="{00000003-B50A-43B8-AD03-5DD00EEB7F70}"/>
            </c:ext>
          </c:extLst>
        </c:ser>
        <c:ser>
          <c:idx val="4"/>
          <c:order val="4"/>
          <c:tx>
            <c:strRef>
              <c:f>'Figura 3 pag4 '!$F$20</c:f>
              <c:strCache>
                <c:ptCount val="1"/>
                <c:pt idx="0">
                  <c:v>Costruzioni</c:v>
                </c:pt>
              </c:strCache>
            </c:strRef>
          </c:tx>
          <c:spPr>
            <a:solidFill>
              <a:srgbClr val="666699"/>
            </a:solidFill>
            <a:ln>
              <a:noFill/>
            </a:ln>
            <a:effectLst/>
          </c:spPr>
          <c:invertIfNegative val="0"/>
          <c:dLbls>
            <c:spPr>
              <a:noFill/>
              <a:ln>
                <a:noFill/>
              </a:ln>
              <a:effectLst/>
            </c:spPr>
            <c:txPr>
              <a:bodyPr rot="0" vert="horz"/>
              <a:lstStyle/>
              <a:p>
                <a:pPr>
                  <a:defRPr b="1">
                    <a:solidFill>
                      <a:schemeClr val="bg1"/>
                    </a:solidFill>
                  </a:defRPr>
                </a:pPr>
                <a:endParaRPr lang="it-I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3 pag4 '!$A$21:$A$22</c:f>
              <c:strCache>
                <c:ptCount val="2"/>
                <c:pt idx="0">
                  <c:v>Valore aggiunto da Economia sommersa </c:v>
                </c:pt>
                <c:pt idx="1">
                  <c:v>Valore aggiunto</c:v>
                </c:pt>
              </c:strCache>
            </c:strRef>
          </c:cat>
          <c:val>
            <c:numRef>
              <c:f>'Figura 3 pag4 '!$F$21:$F$22</c:f>
              <c:numCache>
                <c:formatCode>0.0</c:formatCode>
                <c:ptCount val="2"/>
                <c:pt idx="0">
                  <c:v>7.5153954791290296</c:v>
                </c:pt>
                <c:pt idx="1">
                  <c:v>4.1850128404085076</c:v>
                </c:pt>
              </c:numCache>
            </c:numRef>
          </c:val>
          <c:extLst xmlns:c16r2="http://schemas.microsoft.com/office/drawing/2015/06/chart">
            <c:ext xmlns:c16="http://schemas.microsoft.com/office/drawing/2014/chart" uri="{C3380CC4-5D6E-409C-BE32-E72D297353CC}">
              <c16:uniqueId val="{00000004-B50A-43B8-AD03-5DD00EEB7F70}"/>
            </c:ext>
          </c:extLst>
        </c:ser>
        <c:ser>
          <c:idx val="5"/>
          <c:order val="5"/>
          <c:tx>
            <c:strRef>
              <c:f>'Figura 3 pag4 '!$G$20</c:f>
              <c:strCache>
                <c:ptCount val="1"/>
                <c:pt idx="0">
                  <c:v>Commercio all'ingrosso e al dettaglio, trasporti e magazz., alloggio e ristorazione</c:v>
                </c:pt>
              </c:strCache>
            </c:strRef>
          </c:tx>
          <c:spPr>
            <a:solidFill>
              <a:srgbClr val="1F497D"/>
            </a:solidFill>
            <a:ln>
              <a:noFill/>
            </a:ln>
            <a:effectLst/>
          </c:spPr>
          <c:invertIfNegative val="0"/>
          <c:dLbls>
            <c:spPr>
              <a:noFill/>
              <a:ln>
                <a:noFill/>
              </a:ln>
              <a:effectLst/>
            </c:spPr>
            <c:txPr>
              <a:bodyPr rot="0" vert="horz"/>
              <a:lstStyle/>
              <a:p>
                <a:pPr>
                  <a:defRPr b="1">
                    <a:solidFill>
                      <a:schemeClr val="bg1"/>
                    </a:solidFill>
                  </a:defRPr>
                </a:pPr>
                <a:endParaRPr lang="it-I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3 pag4 '!$A$21:$A$22</c:f>
              <c:strCache>
                <c:ptCount val="2"/>
                <c:pt idx="0">
                  <c:v>Valore aggiunto da Economia sommersa </c:v>
                </c:pt>
                <c:pt idx="1">
                  <c:v>Valore aggiunto</c:v>
                </c:pt>
              </c:strCache>
            </c:strRef>
          </c:cat>
          <c:val>
            <c:numRef>
              <c:f>'Figura 3 pag4 '!$G$21:$G$22</c:f>
              <c:numCache>
                <c:formatCode>0.0</c:formatCode>
                <c:ptCount val="2"/>
                <c:pt idx="0">
                  <c:v>41.718422376667597</c:v>
                </c:pt>
                <c:pt idx="1">
                  <c:v>21.392528750976993</c:v>
                </c:pt>
              </c:numCache>
            </c:numRef>
          </c:val>
          <c:extLst xmlns:c16r2="http://schemas.microsoft.com/office/drawing/2015/06/chart">
            <c:ext xmlns:c16="http://schemas.microsoft.com/office/drawing/2014/chart" uri="{C3380CC4-5D6E-409C-BE32-E72D297353CC}">
              <c16:uniqueId val="{00000005-B50A-43B8-AD03-5DD00EEB7F70}"/>
            </c:ext>
          </c:extLst>
        </c:ser>
        <c:ser>
          <c:idx val="6"/>
          <c:order val="6"/>
          <c:tx>
            <c:strRef>
              <c:f>'Figura 3 pag4 '!$H$20</c:f>
              <c:strCache>
                <c:ptCount val="1"/>
                <c:pt idx="0">
                  <c:v>Servizi professionali</c:v>
                </c:pt>
              </c:strCache>
            </c:strRef>
          </c:tx>
          <c:spPr>
            <a:solidFill>
              <a:srgbClr val="E42618"/>
            </a:solidFill>
            <a:ln>
              <a:noFill/>
            </a:ln>
            <a:effectLst/>
          </c:spPr>
          <c:invertIfNegative val="0"/>
          <c:dLbls>
            <c:spPr>
              <a:noFill/>
              <a:ln>
                <a:noFill/>
              </a:ln>
              <a:effectLst/>
            </c:spPr>
            <c:txPr>
              <a:bodyPr rot="0" vert="horz"/>
              <a:lstStyle/>
              <a:p>
                <a:pPr>
                  <a:defRPr b="1">
                    <a:solidFill>
                      <a:schemeClr val="bg1"/>
                    </a:solidFill>
                  </a:defRPr>
                </a:pPr>
                <a:endParaRPr lang="it-I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3 pag4 '!$A$21:$A$22</c:f>
              <c:strCache>
                <c:ptCount val="2"/>
                <c:pt idx="0">
                  <c:v>Valore aggiunto da Economia sommersa </c:v>
                </c:pt>
                <c:pt idx="1">
                  <c:v>Valore aggiunto</c:v>
                </c:pt>
              </c:strCache>
            </c:strRef>
          </c:cat>
          <c:val>
            <c:numRef>
              <c:f>'Figura 3 pag4 '!$H$21:$H$22</c:f>
              <c:numCache>
                <c:formatCode>0.0</c:formatCode>
                <c:ptCount val="2"/>
                <c:pt idx="0">
                  <c:v>6.4393127531183918</c:v>
                </c:pt>
                <c:pt idx="1">
                  <c:v>4.8998374173410202</c:v>
                </c:pt>
              </c:numCache>
            </c:numRef>
          </c:val>
          <c:extLst xmlns:c16r2="http://schemas.microsoft.com/office/drawing/2015/06/chart">
            <c:ext xmlns:c16="http://schemas.microsoft.com/office/drawing/2014/chart" uri="{C3380CC4-5D6E-409C-BE32-E72D297353CC}">
              <c16:uniqueId val="{00000006-B50A-43B8-AD03-5DD00EEB7F70}"/>
            </c:ext>
          </c:extLst>
        </c:ser>
        <c:ser>
          <c:idx val="7"/>
          <c:order val="7"/>
          <c:tx>
            <c:strRef>
              <c:f>'Figura 3 pag4 '!$I$20</c:f>
              <c:strCache>
                <c:ptCount val="1"/>
                <c:pt idx="0">
                  <c:v>Altri servizi alle imprese</c:v>
                </c:pt>
              </c:strCache>
            </c:strRef>
          </c:tx>
          <c:spPr>
            <a:solidFill>
              <a:srgbClr val="9BBB59"/>
            </a:solidFill>
            <a:ln>
              <a:noFill/>
            </a:ln>
            <a:effectLst/>
          </c:spPr>
          <c:invertIfNegative val="0"/>
          <c:dLbls>
            <c:spPr>
              <a:noFill/>
              <a:ln>
                <a:noFill/>
              </a:ln>
              <a:effectLst/>
            </c:spPr>
            <c:txPr>
              <a:bodyPr rot="0" vert="horz"/>
              <a:lstStyle/>
              <a:p>
                <a:pPr>
                  <a:defRPr b="1"/>
                </a:pPr>
                <a:endParaRPr lang="it-I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3 pag4 '!$A$21:$A$22</c:f>
              <c:strCache>
                <c:ptCount val="2"/>
                <c:pt idx="0">
                  <c:v>Valore aggiunto da Economia sommersa </c:v>
                </c:pt>
                <c:pt idx="1">
                  <c:v>Valore aggiunto</c:v>
                </c:pt>
              </c:strCache>
            </c:strRef>
          </c:cat>
          <c:val>
            <c:numRef>
              <c:f>'Figura 3 pag4 '!$I$21:$I$22</c:f>
              <c:numCache>
                <c:formatCode>0.0</c:formatCode>
                <c:ptCount val="2"/>
                <c:pt idx="0">
                  <c:v>12.7051831587757</c:v>
                </c:pt>
                <c:pt idx="1">
                  <c:v>27.163987152031801</c:v>
                </c:pt>
              </c:numCache>
            </c:numRef>
          </c:val>
          <c:extLst xmlns:c16r2="http://schemas.microsoft.com/office/drawing/2015/06/chart">
            <c:ext xmlns:c16="http://schemas.microsoft.com/office/drawing/2014/chart" uri="{C3380CC4-5D6E-409C-BE32-E72D297353CC}">
              <c16:uniqueId val="{00000007-B50A-43B8-AD03-5DD00EEB7F70}"/>
            </c:ext>
          </c:extLst>
        </c:ser>
        <c:ser>
          <c:idx val="8"/>
          <c:order val="8"/>
          <c:tx>
            <c:strRef>
              <c:f>'Figura 3 pag4 '!$J$20</c:f>
              <c:strCache>
                <c:ptCount val="1"/>
                <c:pt idx="0">
                  <c:v>Servizi generali delle A.A.P.P.</c:v>
                </c:pt>
              </c:strCache>
            </c:strRef>
          </c:tx>
          <c:spPr>
            <a:solidFill>
              <a:schemeClr val="accent3">
                <a:lumMod val="60000"/>
              </a:schemeClr>
            </a:solidFill>
            <a:ln>
              <a:noFill/>
            </a:ln>
            <a:effectLst/>
          </c:spPr>
          <c:invertIfNegative val="0"/>
          <c:dLbls>
            <c:spPr>
              <a:noFill/>
              <a:ln>
                <a:noFill/>
              </a:ln>
              <a:effectLst/>
            </c:spPr>
            <c:txPr>
              <a:bodyPr rot="0" vert="horz"/>
              <a:lstStyle/>
              <a:p>
                <a:pPr>
                  <a:defRPr b="1">
                    <a:solidFill>
                      <a:schemeClr val="bg1"/>
                    </a:solidFill>
                  </a:defRPr>
                </a:pPr>
                <a:endParaRPr lang="it-I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3 pag4 '!$A$21:$A$22</c:f>
              <c:strCache>
                <c:ptCount val="2"/>
                <c:pt idx="0">
                  <c:v>Valore aggiunto da Economia sommersa </c:v>
                </c:pt>
                <c:pt idx="1">
                  <c:v>Valore aggiunto</c:v>
                </c:pt>
              </c:strCache>
            </c:strRef>
          </c:cat>
          <c:val>
            <c:numRef>
              <c:f>'Figura 3 pag4 '!$J$21:$J$22</c:f>
              <c:numCache>
                <c:formatCode>0.0</c:formatCode>
                <c:ptCount val="2"/>
                <c:pt idx="0">
                  <c:v>0</c:v>
                </c:pt>
                <c:pt idx="1">
                  <c:v>6.4699496401080401</c:v>
                </c:pt>
              </c:numCache>
            </c:numRef>
          </c:val>
          <c:extLst xmlns:c16r2="http://schemas.microsoft.com/office/drawing/2015/06/chart">
            <c:ext xmlns:c16="http://schemas.microsoft.com/office/drawing/2014/chart" uri="{C3380CC4-5D6E-409C-BE32-E72D297353CC}">
              <c16:uniqueId val="{00000008-B50A-43B8-AD03-5DD00EEB7F70}"/>
            </c:ext>
          </c:extLst>
        </c:ser>
        <c:ser>
          <c:idx val="9"/>
          <c:order val="9"/>
          <c:tx>
            <c:strRef>
              <c:f>'Figura 3 pag4 '!$K$20</c:f>
              <c:strCache>
                <c:ptCount val="1"/>
                <c:pt idx="0">
                  <c:v>Istruzione, sanità e assistenza sociale</c:v>
                </c:pt>
              </c:strCache>
            </c:strRef>
          </c:tx>
          <c:spPr>
            <a:solidFill>
              <a:srgbClr val="CC6600"/>
            </a:solidFill>
            <a:ln>
              <a:noFill/>
            </a:ln>
            <a:effectLst/>
          </c:spPr>
          <c:invertIfNegative val="0"/>
          <c:dLbls>
            <c:spPr>
              <a:noFill/>
              <a:ln>
                <a:noFill/>
              </a:ln>
              <a:effectLst/>
            </c:spPr>
            <c:txPr>
              <a:bodyPr rot="0" vert="horz"/>
              <a:lstStyle/>
              <a:p>
                <a:pPr>
                  <a:defRPr b="1"/>
                </a:pPr>
                <a:endParaRPr lang="it-I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3 pag4 '!$A$21:$A$22</c:f>
              <c:strCache>
                <c:ptCount val="2"/>
                <c:pt idx="0">
                  <c:v>Valore aggiunto da Economia sommersa </c:v>
                </c:pt>
                <c:pt idx="1">
                  <c:v>Valore aggiunto</c:v>
                </c:pt>
              </c:strCache>
            </c:strRef>
          </c:cat>
          <c:val>
            <c:numRef>
              <c:f>'Figura 3 pag4 '!$K$21:$K$22</c:f>
              <c:numCache>
                <c:formatCode>0.0</c:formatCode>
                <c:ptCount val="2"/>
                <c:pt idx="0">
                  <c:v>7.0042928324923404</c:v>
                </c:pt>
                <c:pt idx="1">
                  <c:v>10.083004733284804</c:v>
                </c:pt>
              </c:numCache>
            </c:numRef>
          </c:val>
          <c:extLst xmlns:c16r2="http://schemas.microsoft.com/office/drawing/2015/06/chart">
            <c:ext xmlns:c16="http://schemas.microsoft.com/office/drawing/2014/chart" uri="{C3380CC4-5D6E-409C-BE32-E72D297353CC}">
              <c16:uniqueId val="{00000009-B50A-43B8-AD03-5DD00EEB7F70}"/>
            </c:ext>
          </c:extLst>
        </c:ser>
        <c:ser>
          <c:idx val="10"/>
          <c:order val="10"/>
          <c:tx>
            <c:strRef>
              <c:f>'Figura 3 pag4 '!$L$20</c:f>
              <c:strCache>
                <c:ptCount val="1"/>
                <c:pt idx="0">
                  <c:v>Altri servizi alle persone</c:v>
                </c:pt>
              </c:strCache>
            </c:strRef>
          </c:tx>
          <c:spPr>
            <a:solidFill>
              <a:schemeClr val="accent5"/>
            </a:solidFill>
            <a:ln>
              <a:noFill/>
            </a:ln>
            <a:effectLst/>
          </c:spPr>
          <c:invertIfNegative val="0"/>
          <c:dLbls>
            <c:spPr>
              <a:noFill/>
              <a:ln>
                <a:noFill/>
              </a:ln>
              <a:effectLst/>
            </c:spPr>
            <c:txPr>
              <a:bodyPr rot="0" vert="horz"/>
              <a:lstStyle/>
              <a:p>
                <a:pPr>
                  <a:defRPr b="1"/>
                </a:pPr>
                <a:endParaRPr lang="it-I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3 pag4 '!$A$21:$A$22</c:f>
              <c:strCache>
                <c:ptCount val="2"/>
                <c:pt idx="0">
                  <c:v>Valore aggiunto da Economia sommersa </c:v>
                </c:pt>
                <c:pt idx="1">
                  <c:v>Valore aggiunto</c:v>
                </c:pt>
              </c:strCache>
            </c:strRef>
          </c:cat>
          <c:val>
            <c:numRef>
              <c:f>'Figura 3 pag4 '!$L$21:$L$22</c:f>
              <c:numCache>
                <c:formatCode>0.0</c:formatCode>
                <c:ptCount val="2"/>
                <c:pt idx="0">
                  <c:v>12.288350431770892</c:v>
                </c:pt>
                <c:pt idx="1">
                  <c:v>4.0995460173398603</c:v>
                </c:pt>
              </c:numCache>
            </c:numRef>
          </c:val>
          <c:extLst xmlns:c16r2="http://schemas.microsoft.com/office/drawing/2015/06/chart">
            <c:ext xmlns:c16="http://schemas.microsoft.com/office/drawing/2014/chart" uri="{C3380CC4-5D6E-409C-BE32-E72D297353CC}">
              <c16:uniqueId val="{0000000A-B50A-43B8-AD03-5DD00EEB7F70}"/>
            </c:ext>
          </c:extLst>
        </c:ser>
        <c:dLbls>
          <c:showLegendKey val="0"/>
          <c:showVal val="0"/>
          <c:showCatName val="0"/>
          <c:showSerName val="0"/>
          <c:showPercent val="0"/>
          <c:showBubbleSize val="0"/>
        </c:dLbls>
        <c:gapWidth val="80"/>
        <c:overlap val="100"/>
        <c:axId val="73060736"/>
        <c:axId val="73062272"/>
      </c:barChart>
      <c:catAx>
        <c:axId val="73060736"/>
        <c:scaling>
          <c:orientation val="minMax"/>
        </c:scaling>
        <c:delete val="0"/>
        <c:axPos val="l"/>
        <c:majorGridlines>
          <c:spPr>
            <a:ln>
              <a:solidFill>
                <a:schemeClr val="bg1"/>
              </a:solidFill>
            </a:ln>
          </c:spPr>
        </c:majorGridlines>
        <c:numFmt formatCode="General" sourceLinked="1"/>
        <c:majorTickMark val="none"/>
        <c:minorTickMark val="none"/>
        <c:tickLblPos val="nextTo"/>
        <c:spPr>
          <a:noFill/>
          <a:ln w="9525" cap="flat" cmpd="sng" algn="ctr">
            <a:solidFill>
              <a:schemeClr val="bg1"/>
            </a:solidFill>
            <a:round/>
          </a:ln>
          <a:effectLst/>
        </c:spPr>
        <c:txPr>
          <a:bodyPr rot="0"/>
          <a:lstStyle/>
          <a:p>
            <a:pPr>
              <a:defRPr b="1"/>
            </a:pPr>
            <a:endParaRPr lang="it-IT"/>
          </a:p>
        </c:txPr>
        <c:crossAx val="73062272"/>
        <c:crossesAt val="0"/>
        <c:auto val="1"/>
        <c:lblAlgn val="ctr"/>
        <c:lblOffset val="100"/>
        <c:noMultiLvlLbl val="0"/>
      </c:catAx>
      <c:valAx>
        <c:axId val="73062272"/>
        <c:scaling>
          <c:orientation val="minMax"/>
        </c:scaling>
        <c:delete val="0"/>
        <c:axPos val="b"/>
        <c:majorGridlines>
          <c:spPr>
            <a:ln w="9525" cap="flat" cmpd="sng" algn="ctr">
              <a:solidFill>
                <a:schemeClr val="bg1"/>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it-IT"/>
          </a:p>
        </c:txPr>
        <c:crossAx val="73060736"/>
        <c:crosses val="autoZero"/>
        <c:crossBetween val="between"/>
      </c:valAx>
      <c:spPr>
        <a:noFill/>
        <a:ln>
          <a:noFill/>
        </a:ln>
        <a:effectLst/>
      </c:spPr>
    </c:plotArea>
    <c:legend>
      <c:legendPos val="t"/>
      <c:layout>
        <c:manualLayout>
          <c:xMode val="edge"/>
          <c:yMode val="edge"/>
          <c:x val="0"/>
          <c:y val="3.6937554801239704E-2"/>
          <c:w val="1"/>
          <c:h val="0.24216776343996188"/>
        </c:manualLayout>
      </c:layout>
      <c:overlay val="0"/>
      <c:spPr>
        <a:noFill/>
        <a:ln>
          <a:noFill/>
        </a:ln>
        <a:effectLst/>
      </c:spPr>
      <c:txPr>
        <a:bodyPr rot="0" vert="horz"/>
        <a:lstStyle/>
        <a:p>
          <a:pPr>
            <a:defRPr sz="700"/>
          </a:pPr>
          <a:endParaRPr lang="it-IT"/>
        </a:p>
      </c:txPr>
    </c:legend>
    <c:plotVisOnly val="1"/>
    <c:dispBlanksAs val="gap"/>
    <c:showDLblsOverMax val="0"/>
  </c:chart>
  <c:spPr>
    <a:noFill/>
    <a:ln w="9525" cap="flat" cmpd="sng" algn="ctr">
      <a:noFill/>
      <a:round/>
    </a:ln>
    <a:effectLst/>
  </c:spPr>
  <c:txPr>
    <a:bodyPr/>
    <a:lstStyle/>
    <a:p>
      <a:pPr>
        <a:defRPr sz="800">
          <a:latin typeface="Arial Narrow" panose="020B0606020202030204" pitchFamily="34" charset="0"/>
        </a:defRPr>
      </a:pPr>
      <a:endParaRPr lang="it-I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37442126303561"/>
          <c:y val="0.15353817702622441"/>
          <c:w val="0.79420745626777967"/>
          <c:h val="0.74382967423248747"/>
        </c:manualLayout>
      </c:layout>
      <c:barChart>
        <c:barDir val="col"/>
        <c:grouping val="clustered"/>
        <c:varyColors val="0"/>
        <c:ser>
          <c:idx val="1"/>
          <c:order val="0"/>
          <c:tx>
            <c:strRef>
              <c:f>'figura 4 pag 6'!$D$4</c:f>
              <c:strCache>
                <c:ptCount val="1"/>
                <c:pt idx="0">
                  <c:v>Ula non regolari</c:v>
                </c:pt>
              </c:strCache>
            </c:strRef>
          </c:tx>
          <c:spPr>
            <a:solidFill>
              <a:schemeClr val="tx2"/>
            </a:solidFill>
          </c:spPr>
          <c:invertIfNegative val="0"/>
          <c:dLbls>
            <c:showLegendKey val="0"/>
            <c:showVal val="1"/>
            <c:showCatName val="0"/>
            <c:showSerName val="0"/>
            <c:showPercent val="0"/>
            <c:showBubbleSize val="0"/>
            <c:showLeaderLines val="0"/>
          </c:dLbls>
          <c:cat>
            <c:numRef>
              <c:f>'figura 4 pag 6'!$C$5:$C$8</c:f>
              <c:numCache>
                <c:formatCode>General</c:formatCode>
                <c:ptCount val="4"/>
                <c:pt idx="0">
                  <c:v>2014</c:v>
                </c:pt>
                <c:pt idx="1">
                  <c:v>2015</c:v>
                </c:pt>
                <c:pt idx="2">
                  <c:v>2016</c:v>
                </c:pt>
                <c:pt idx="3">
                  <c:v>2017</c:v>
                </c:pt>
              </c:numCache>
            </c:numRef>
          </c:cat>
          <c:val>
            <c:numRef>
              <c:f>'figura 4 pag 6'!$D$5:$D$8</c:f>
              <c:numCache>
                <c:formatCode>#,##0</c:formatCode>
                <c:ptCount val="4"/>
                <c:pt idx="0">
                  <c:v>3641.1</c:v>
                </c:pt>
                <c:pt idx="1">
                  <c:v>3699.5</c:v>
                </c:pt>
                <c:pt idx="2">
                  <c:v>3674.5999999999995</c:v>
                </c:pt>
                <c:pt idx="3">
                  <c:v>3699.7000000000003</c:v>
                </c:pt>
              </c:numCache>
            </c:numRef>
          </c:val>
        </c:ser>
        <c:dLbls>
          <c:showLegendKey val="0"/>
          <c:showVal val="0"/>
          <c:showCatName val="0"/>
          <c:showSerName val="0"/>
          <c:showPercent val="0"/>
          <c:showBubbleSize val="0"/>
        </c:dLbls>
        <c:gapWidth val="80"/>
        <c:axId val="74156672"/>
        <c:axId val="74162560"/>
      </c:barChart>
      <c:lineChart>
        <c:grouping val="standard"/>
        <c:varyColors val="0"/>
        <c:ser>
          <c:idx val="2"/>
          <c:order val="1"/>
          <c:tx>
            <c:strRef>
              <c:f>'figura 4 pag 6'!$E$4</c:f>
              <c:strCache>
                <c:ptCount val="1"/>
                <c:pt idx="0">
                  <c:v>Tasso di irregolarità (scala dx)</c:v>
                </c:pt>
              </c:strCache>
            </c:strRef>
          </c:tx>
          <c:spPr>
            <a:ln>
              <a:solidFill>
                <a:srgbClr val="E42618"/>
              </a:solidFill>
            </a:ln>
          </c:spPr>
          <c:marker>
            <c:symbol val="circle"/>
            <c:size val="7"/>
            <c:spPr>
              <a:solidFill>
                <a:srgbClr val="E42618"/>
              </a:solidFill>
              <a:ln>
                <a:solidFill>
                  <a:srgbClr val="E42618"/>
                </a:solidFill>
              </a:ln>
            </c:spPr>
          </c:marker>
          <c:dPt>
            <c:idx val="1"/>
            <c:bubble3D val="0"/>
            <c:spPr>
              <a:ln>
                <a:solidFill>
                  <a:srgbClr val="E42618"/>
                </a:solidFill>
              </a:ln>
            </c:spPr>
          </c:dPt>
          <c:dPt>
            <c:idx val="3"/>
            <c:bubble3D val="0"/>
            <c:spPr>
              <a:ln>
                <a:solidFill>
                  <a:srgbClr val="E42618"/>
                </a:solidFill>
              </a:ln>
            </c:spPr>
          </c:dPt>
          <c:cat>
            <c:numRef>
              <c:f>'figura 4 pag 6'!$C$5:$C$8</c:f>
              <c:numCache>
                <c:formatCode>General</c:formatCode>
                <c:ptCount val="4"/>
                <c:pt idx="0">
                  <c:v>2014</c:v>
                </c:pt>
                <c:pt idx="1">
                  <c:v>2015</c:v>
                </c:pt>
                <c:pt idx="2">
                  <c:v>2016</c:v>
                </c:pt>
                <c:pt idx="3">
                  <c:v>2017</c:v>
                </c:pt>
              </c:numCache>
            </c:numRef>
          </c:cat>
          <c:val>
            <c:numRef>
              <c:f>'figura 4 pag 6'!$E$5:$E$8</c:f>
              <c:numCache>
                <c:formatCode>0.0</c:formatCode>
                <c:ptCount val="4"/>
                <c:pt idx="0">
                  <c:v>15.6</c:v>
                </c:pt>
                <c:pt idx="1">
                  <c:v>15.8</c:v>
                </c:pt>
                <c:pt idx="2">
                  <c:v>15.5</c:v>
                </c:pt>
                <c:pt idx="3">
                  <c:v>15.5</c:v>
                </c:pt>
              </c:numCache>
            </c:numRef>
          </c:val>
          <c:smooth val="0"/>
        </c:ser>
        <c:dLbls>
          <c:showLegendKey val="0"/>
          <c:showVal val="0"/>
          <c:showCatName val="0"/>
          <c:showSerName val="0"/>
          <c:showPercent val="0"/>
          <c:showBubbleSize val="0"/>
        </c:dLbls>
        <c:marker val="1"/>
        <c:smooth val="0"/>
        <c:axId val="74165632"/>
        <c:axId val="74164096"/>
      </c:lineChart>
      <c:catAx>
        <c:axId val="74156672"/>
        <c:scaling>
          <c:orientation val="minMax"/>
        </c:scaling>
        <c:delete val="0"/>
        <c:axPos val="b"/>
        <c:majorGridlines>
          <c:spPr>
            <a:ln>
              <a:solidFill>
                <a:schemeClr val="bg1"/>
              </a:solidFill>
            </a:ln>
          </c:spPr>
        </c:majorGridlines>
        <c:numFmt formatCode="General" sourceLinked="1"/>
        <c:majorTickMark val="out"/>
        <c:minorTickMark val="none"/>
        <c:tickLblPos val="nextTo"/>
        <c:spPr>
          <a:ln>
            <a:solidFill>
              <a:schemeClr val="bg1"/>
            </a:solidFill>
          </a:ln>
        </c:spPr>
        <c:crossAx val="74162560"/>
        <c:crosses val="autoZero"/>
        <c:auto val="1"/>
        <c:lblAlgn val="ctr"/>
        <c:lblOffset val="100"/>
        <c:noMultiLvlLbl val="0"/>
      </c:catAx>
      <c:valAx>
        <c:axId val="74162560"/>
        <c:scaling>
          <c:orientation val="minMax"/>
          <c:max val="3740"/>
          <c:min val="3600"/>
        </c:scaling>
        <c:delete val="0"/>
        <c:axPos val="l"/>
        <c:majorGridlines>
          <c:spPr>
            <a:ln>
              <a:solidFill>
                <a:schemeClr val="bg1"/>
              </a:solidFill>
            </a:ln>
          </c:spPr>
        </c:majorGridlines>
        <c:numFmt formatCode="#,##0" sourceLinked="1"/>
        <c:majorTickMark val="out"/>
        <c:minorTickMark val="none"/>
        <c:tickLblPos val="nextTo"/>
        <c:spPr>
          <a:ln>
            <a:solidFill>
              <a:schemeClr val="bg1"/>
            </a:solidFill>
          </a:ln>
        </c:spPr>
        <c:crossAx val="74156672"/>
        <c:crosses val="autoZero"/>
        <c:crossBetween val="between"/>
        <c:majorUnit val="20"/>
      </c:valAx>
      <c:valAx>
        <c:axId val="74164096"/>
        <c:scaling>
          <c:orientation val="minMax"/>
          <c:max val="15.8"/>
          <c:min val="15.4"/>
        </c:scaling>
        <c:delete val="0"/>
        <c:axPos val="r"/>
        <c:numFmt formatCode="0.0" sourceLinked="1"/>
        <c:majorTickMark val="out"/>
        <c:minorTickMark val="none"/>
        <c:tickLblPos val="nextTo"/>
        <c:spPr>
          <a:ln>
            <a:solidFill>
              <a:schemeClr val="bg1"/>
            </a:solidFill>
          </a:ln>
        </c:spPr>
        <c:crossAx val="74165632"/>
        <c:crosses val="max"/>
        <c:crossBetween val="between"/>
        <c:majorUnit val="0.1"/>
      </c:valAx>
      <c:catAx>
        <c:axId val="74165632"/>
        <c:scaling>
          <c:orientation val="minMax"/>
        </c:scaling>
        <c:delete val="1"/>
        <c:axPos val="b"/>
        <c:numFmt formatCode="General" sourceLinked="1"/>
        <c:majorTickMark val="out"/>
        <c:minorTickMark val="none"/>
        <c:tickLblPos val="nextTo"/>
        <c:crossAx val="74164096"/>
        <c:crosses val="autoZero"/>
        <c:auto val="1"/>
        <c:lblAlgn val="ctr"/>
        <c:lblOffset val="100"/>
        <c:noMultiLvlLbl val="0"/>
      </c:catAx>
      <c:spPr>
        <a:solidFill>
          <a:schemeClr val="tx2">
            <a:alpha val="0"/>
          </a:schemeClr>
        </a:solidFill>
      </c:spPr>
    </c:plotArea>
    <c:legend>
      <c:legendPos val="t"/>
      <c:layout>
        <c:manualLayout>
          <c:xMode val="edge"/>
          <c:yMode val="edge"/>
          <c:x val="0.10584841625347605"/>
          <c:y val="3.3076074972436607E-2"/>
          <c:w val="0.80452216223464523"/>
          <c:h val="7.6326716042868725E-2"/>
        </c:manualLayout>
      </c:layout>
      <c:overlay val="0"/>
    </c:legend>
    <c:plotVisOnly val="1"/>
    <c:dispBlanksAs val="gap"/>
    <c:showDLblsOverMax val="0"/>
  </c:chart>
  <c:spPr>
    <a:solidFill>
      <a:schemeClr val="tx2">
        <a:alpha val="0"/>
      </a:schemeClr>
    </a:solidFill>
    <a:ln>
      <a:noFill/>
    </a:ln>
  </c:spPr>
  <c:txPr>
    <a:bodyPr/>
    <a:lstStyle/>
    <a:p>
      <a:pPr>
        <a:defRPr sz="700">
          <a:latin typeface="Arial Narrow" panose="020B0606020202030204" pitchFamily="34" charset="0"/>
        </a:defRPr>
      </a:pPr>
      <a:endParaRPr lang="it-I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850817890188002E-2"/>
          <c:y val="0.15380865627090731"/>
          <c:w val="0.90984793096072003"/>
          <c:h val="0.73956172365150175"/>
        </c:manualLayout>
      </c:layout>
      <c:lineChart>
        <c:grouping val="standard"/>
        <c:varyColors val="0"/>
        <c:ser>
          <c:idx val="1"/>
          <c:order val="0"/>
          <c:tx>
            <c:strRef>
              <c:f>'figura 4 pag 6'!$G$4</c:f>
              <c:strCache>
                <c:ptCount val="1"/>
                <c:pt idx="0">
                  <c:v>Var.% ula regolari</c:v>
                </c:pt>
              </c:strCache>
            </c:strRef>
          </c:tx>
          <c:spPr>
            <a:ln>
              <a:solidFill>
                <a:srgbClr val="E42618"/>
              </a:solidFill>
            </a:ln>
          </c:spPr>
          <c:marker>
            <c:symbol val="square"/>
            <c:size val="7"/>
            <c:spPr>
              <a:solidFill>
                <a:srgbClr val="E42618"/>
              </a:solidFill>
              <a:ln>
                <a:noFill/>
              </a:ln>
            </c:spPr>
          </c:marker>
          <c:dPt>
            <c:idx val="1"/>
            <c:marker>
              <c:spPr>
                <a:solidFill>
                  <a:srgbClr val="E42618"/>
                </a:solidFill>
                <a:ln>
                  <a:solidFill>
                    <a:srgbClr val="E42618"/>
                  </a:solidFill>
                </a:ln>
              </c:spPr>
            </c:marker>
            <c:bubble3D val="0"/>
          </c:dPt>
          <c:dPt>
            <c:idx val="2"/>
            <c:marker>
              <c:spPr>
                <a:solidFill>
                  <a:srgbClr val="E42618"/>
                </a:solidFill>
                <a:ln>
                  <a:solidFill>
                    <a:srgbClr val="E42618"/>
                  </a:solidFill>
                </a:ln>
              </c:spPr>
            </c:marker>
            <c:bubble3D val="0"/>
            <c:spPr>
              <a:ln>
                <a:solidFill>
                  <a:srgbClr val="E42618"/>
                </a:solidFill>
              </a:ln>
            </c:spPr>
          </c:dPt>
          <c:dPt>
            <c:idx val="3"/>
            <c:marker>
              <c:spPr>
                <a:solidFill>
                  <a:srgbClr val="E42618"/>
                </a:solidFill>
                <a:ln>
                  <a:solidFill>
                    <a:srgbClr val="E42618"/>
                  </a:solidFill>
                </a:ln>
              </c:spPr>
            </c:marker>
            <c:bubble3D val="0"/>
          </c:dPt>
          <c:cat>
            <c:numRef>
              <c:f>'figura 4 pag 6'!$C$5:$C$8</c:f>
              <c:numCache>
                <c:formatCode>General</c:formatCode>
                <c:ptCount val="4"/>
                <c:pt idx="0">
                  <c:v>2014</c:v>
                </c:pt>
                <c:pt idx="1">
                  <c:v>2015</c:v>
                </c:pt>
                <c:pt idx="2">
                  <c:v>2016</c:v>
                </c:pt>
                <c:pt idx="3">
                  <c:v>2017</c:v>
                </c:pt>
              </c:numCache>
            </c:numRef>
          </c:cat>
          <c:val>
            <c:numRef>
              <c:f>'figura 4 pag 6'!$G$5:$G$8</c:f>
              <c:numCache>
                <c:formatCode>0.0</c:formatCode>
                <c:ptCount val="4"/>
                <c:pt idx="0">
                  <c:v>-0.63786091495860853</c:v>
                </c:pt>
                <c:pt idx="1">
                  <c:v>0.49635749957998615</c:v>
                </c:pt>
                <c:pt idx="2">
                  <c:v>1.7360161291956762</c:v>
                </c:pt>
                <c:pt idx="3">
                  <c:v>0.81062375207264381</c:v>
                </c:pt>
              </c:numCache>
            </c:numRef>
          </c:val>
          <c:smooth val="0"/>
        </c:ser>
        <c:ser>
          <c:idx val="2"/>
          <c:order val="1"/>
          <c:tx>
            <c:strRef>
              <c:f>'figura 4 pag 6'!$H$4</c:f>
              <c:strCache>
                <c:ptCount val="1"/>
                <c:pt idx="0">
                  <c:v>Var.% ula non regolari</c:v>
                </c:pt>
              </c:strCache>
            </c:strRef>
          </c:tx>
          <c:spPr>
            <a:ln>
              <a:solidFill>
                <a:schemeClr val="tx2"/>
              </a:solidFill>
            </a:ln>
          </c:spPr>
          <c:marker>
            <c:symbol val="square"/>
            <c:size val="7"/>
            <c:spPr>
              <a:solidFill>
                <a:schemeClr val="tx2"/>
              </a:solidFill>
              <a:ln>
                <a:noFill/>
              </a:ln>
            </c:spPr>
          </c:marker>
          <c:cat>
            <c:numRef>
              <c:f>'figura 4 pag 6'!$C$5:$C$8</c:f>
              <c:numCache>
                <c:formatCode>General</c:formatCode>
                <c:ptCount val="4"/>
                <c:pt idx="0">
                  <c:v>2014</c:v>
                </c:pt>
                <c:pt idx="1">
                  <c:v>2015</c:v>
                </c:pt>
                <c:pt idx="2">
                  <c:v>2016</c:v>
                </c:pt>
                <c:pt idx="3">
                  <c:v>2017</c:v>
                </c:pt>
              </c:numCache>
            </c:numRef>
          </c:cat>
          <c:val>
            <c:numRef>
              <c:f>'figura 4 pag 6'!$H$5:$H$8</c:f>
              <c:numCache>
                <c:formatCode>0.0</c:formatCode>
                <c:ptCount val="4"/>
                <c:pt idx="0">
                  <c:v>4.9187413554633563</c:v>
                </c:pt>
                <c:pt idx="1">
                  <c:v>1.603910906044888</c:v>
                </c:pt>
                <c:pt idx="2">
                  <c:v>-0.67306392755779165</c:v>
                </c:pt>
                <c:pt idx="3">
                  <c:v>0.68306754476678555</c:v>
                </c:pt>
              </c:numCache>
            </c:numRef>
          </c:val>
          <c:smooth val="0"/>
        </c:ser>
        <c:dLbls>
          <c:showLegendKey val="0"/>
          <c:showVal val="0"/>
          <c:showCatName val="0"/>
          <c:showSerName val="0"/>
          <c:showPercent val="0"/>
          <c:showBubbleSize val="0"/>
        </c:dLbls>
        <c:marker val="1"/>
        <c:smooth val="0"/>
        <c:axId val="74183808"/>
        <c:axId val="74185728"/>
      </c:lineChart>
      <c:catAx>
        <c:axId val="74183808"/>
        <c:scaling>
          <c:orientation val="minMax"/>
        </c:scaling>
        <c:delete val="0"/>
        <c:axPos val="b"/>
        <c:majorGridlines>
          <c:spPr>
            <a:ln>
              <a:solidFill>
                <a:schemeClr val="bg1"/>
              </a:solidFill>
            </a:ln>
          </c:spPr>
        </c:majorGridlines>
        <c:numFmt formatCode="General" sourceLinked="1"/>
        <c:majorTickMark val="out"/>
        <c:minorTickMark val="none"/>
        <c:tickLblPos val="low"/>
        <c:spPr>
          <a:solidFill>
            <a:schemeClr val="tx2">
              <a:alpha val="0"/>
            </a:schemeClr>
          </a:solidFill>
          <a:ln>
            <a:solidFill>
              <a:schemeClr val="bg1"/>
            </a:solidFill>
          </a:ln>
        </c:spPr>
        <c:crossAx val="74185728"/>
        <c:crosses val="autoZero"/>
        <c:auto val="1"/>
        <c:lblAlgn val="ctr"/>
        <c:lblOffset val="100"/>
        <c:noMultiLvlLbl val="0"/>
      </c:catAx>
      <c:valAx>
        <c:axId val="74185728"/>
        <c:scaling>
          <c:orientation val="minMax"/>
        </c:scaling>
        <c:delete val="0"/>
        <c:axPos val="l"/>
        <c:majorGridlines>
          <c:spPr>
            <a:ln>
              <a:solidFill>
                <a:schemeClr val="bg1"/>
              </a:solidFill>
            </a:ln>
          </c:spPr>
        </c:majorGridlines>
        <c:numFmt formatCode="0.0" sourceLinked="0"/>
        <c:majorTickMark val="out"/>
        <c:minorTickMark val="none"/>
        <c:tickLblPos val="nextTo"/>
        <c:spPr>
          <a:ln>
            <a:solidFill>
              <a:schemeClr val="bg1"/>
            </a:solidFill>
          </a:ln>
        </c:spPr>
        <c:crossAx val="74183808"/>
        <c:crosses val="autoZero"/>
        <c:crossBetween val="between"/>
      </c:valAx>
      <c:spPr>
        <a:solidFill>
          <a:schemeClr val="tx2">
            <a:alpha val="0"/>
          </a:schemeClr>
        </a:solidFill>
      </c:spPr>
    </c:plotArea>
    <c:legend>
      <c:legendPos val="t"/>
      <c:layout>
        <c:manualLayout>
          <c:xMode val="edge"/>
          <c:yMode val="edge"/>
          <c:x val="0.14089395541975164"/>
          <c:y val="3.137254901960785E-2"/>
          <c:w val="0.71821177576683493"/>
          <c:h val="0.10379455509237816"/>
        </c:manualLayout>
      </c:layout>
      <c:overlay val="0"/>
    </c:legend>
    <c:plotVisOnly val="1"/>
    <c:dispBlanksAs val="gap"/>
    <c:showDLblsOverMax val="0"/>
  </c:chart>
  <c:spPr>
    <a:solidFill>
      <a:schemeClr val="tx2">
        <a:alpha val="0"/>
      </a:schemeClr>
    </a:solidFill>
    <a:ln>
      <a:noFill/>
    </a:ln>
  </c:spPr>
  <c:txPr>
    <a:bodyPr/>
    <a:lstStyle/>
    <a:p>
      <a:pPr>
        <a:defRPr sz="700">
          <a:latin typeface="Arial Narrow" panose="020B0606020202030204" pitchFamily="34" charset="0"/>
        </a:defRPr>
      </a:pPr>
      <a:endParaRPr lang="it-I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7565847027032445"/>
          <c:y val="0.11244027754696113"/>
          <c:w val="0.60580789317938144"/>
          <c:h val="0.81187286144205772"/>
        </c:manualLayout>
      </c:layout>
      <c:barChart>
        <c:barDir val="bar"/>
        <c:grouping val="clustered"/>
        <c:varyColors val="0"/>
        <c:ser>
          <c:idx val="0"/>
          <c:order val="0"/>
          <c:tx>
            <c:strRef>
              <c:f>'figura 5 pag 7'!$B$4</c:f>
              <c:strCache>
                <c:ptCount val="1"/>
                <c:pt idx="0">
                  <c:v>Ula dipendenti</c:v>
                </c:pt>
              </c:strCache>
            </c:strRef>
          </c:tx>
          <c:spPr>
            <a:solidFill>
              <a:srgbClr val="9BBB59"/>
            </a:solidFill>
          </c:spPr>
          <c:invertIfNegative val="0"/>
          <c:cat>
            <c:strRef>
              <c:f>'figura 5 pag 7'!$A$5:$A$16</c:f>
              <c:strCache>
                <c:ptCount val="12"/>
                <c:pt idx="0">
                  <c:v>Agricoltura, silvicoltura e pesca</c:v>
                </c:pt>
                <c:pt idx="1">
                  <c:v>Produz. beni alimentari e di consumo</c:v>
                </c:pt>
                <c:pt idx="2">
                  <c:v>Produz. beni di investim.</c:v>
                </c:pt>
                <c:pt idx="3">
                  <c:v>Produz. beni intermedi, energia e rifiuti</c:v>
                </c:pt>
                <c:pt idx="4">
                  <c:v>Costruzioni</c:v>
                </c:pt>
                <c:pt idx="5">
                  <c:v>Comm. ingrosso e dettaglio, trasporti e magaz., alloggio e ristorazione</c:v>
                </c:pt>
                <c:pt idx="6">
                  <c:v>Servizi professionali</c:v>
                </c:pt>
                <c:pt idx="7">
                  <c:v>Altri servizi alle imprese</c:v>
                </c:pt>
                <c:pt idx="8">
                  <c:v>Servizi generali delle A.A.P.P.</c:v>
                </c:pt>
                <c:pt idx="9">
                  <c:v>Istruzione, sanità e assistenza sociale</c:v>
                </c:pt>
                <c:pt idx="10">
                  <c:v>Altri servizi alle persone</c:v>
                </c:pt>
                <c:pt idx="11">
                  <c:v>Totale</c:v>
                </c:pt>
              </c:strCache>
            </c:strRef>
          </c:cat>
          <c:val>
            <c:numRef>
              <c:f>'figura 5 pag 7'!$B$5:$B$16</c:f>
              <c:numCache>
                <c:formatCode>0.0</c:formatCode>
                <c:ptCount val="12"/>
                <c:pt idx="0">
                  <c:v>38.284663140951963</c:v>
                </c:pt>
                <c:pt idx="1">
                  <c:v>9.0591251650998359</c:v>
                </c:pt>
                <c:pt idx="2">
                  <c:v>5.5197792088316486</c:v>
                </c:pt>
                <c:pt idx="3">
                  <c:v>6.3319701029473974</c:v>
                </c:pt>
                <c:pt idx="4">
                  <c:v>20.463746779536237</c:v>
                </c:pt>
                <c:pt idx="5">
                  <c:v>14.730351902210488</c:v>
                </c:pt>
                <c:pt idx="6">
                  <c:v>10.676883780332052</c:v>
                </c:pt>
                <c:pt idx="7">
                  <c:v>7.5419681977059021</c:v>
                </c:pt>
                <c:pt idx="8">
                  <c:v>0</c:v>
                </c:pt>
                <c:pt idx="9">
                  <c:v>7.6675508399646306</c:v>
                </c:pt>
                <c:pt idx="10">
                  <c:v>51.968538730060544</c:v>
                </c:pt>
                <c:pt idx="11">
                  <c:v>15.951856848682816</c:v>
                </c:pt>
              </c:numCache>
            </c:numRef>
          </c:val>
        </c:ser>
        <c:ser>
          <c:idx val="1"/>
          <c:order val="1"/>
          <c:tx>
            <c:strRef>
              <c:f>'figura 5 pag 7'!$C$4</c:f>
              <c:strCache>
                <c:ptCount val="1"/>
                <c:pt idx="0">
                  <c:v>Ula indipendenti</c:v>
                </c:pt>
              </c:strCache>
            </c:strRef>
          </c:tx>
          <c:spPr>
            <a:solidFill>
              <a:srgbClr val="E42618"/>
            </a:solidFill>
          </c:spPr>
          <c:invertIfNegative val="0"/>
          <c:cat>
            <c:strRef>
              <c:f>'figura 5 pag 7'!$A$5:$A$16</c:f>
              <c:strCache>
                <c:ptCount val="12"/>
                <c:pt idx="0">
                  <c:v>Agricoltura, silvicoltura e pesca</c:v>
                </c:pt>
                <c:pt idx="1">
                  <c:v>Produz. beni alimentari e di consumo</c:v>
                </c:pt>
                <c:pt idx="2">
                  <c:v>Produz. beni di investim.</c:v>
                </c:pt>
                <c:pt idx="3">
                  <c:v>Produz. beni intermedi, energia e rifiuti</c:v>
                </c:pt>
                <c:pt idx="4">
                  <c:v>Costruzioni</c:v>
                </c:pt>
                <c:pt idx="5">
                  <c:v>Comm. ingrosso e dettaglio, trasporti e magaz., alloggio e ristorazione</c:v>
                </c:pt>
                <c:pt idx="6">
                  <c:v>Servizi professionali</c:v>
                </c:pt>
                <c:pt idx="7">
                  <c:v>Altri servizi alle imprese</c:v>
                </c:pt>
                <c:pt idx="8">
                  <c:v>Servizi generali delle A.A.P.P.</c:v>
                </c:pt>
                <c:pt idx="9">
                  <c:v>Istruzione, sanità e assistenza sociale</c:v>
                </c:pt>
                <c:pt idx="10">
                  <c:v>Altri servizi alle persone</c:v>
                </c:pt>
                <c:pt idx="11">
                  <c:v>Totale</c:v>
                </c:pt>
              </c:strCache>
            </c:strRef>
          </c:cat>
          <c:val>
            <c:numRef>
              <c:f>'figura 5 pag 7'!$C$5:$C$16</c:f>
              <c:numCache>
                <c:formatCode>0.0</c:formatCode>
                <c:ptCount val="12"/>
                <c:pt idx="0">
                  <c:v>7.7659182922340815</c:v>
                </c:pt>
                <c:pt idx="1">
                  <c:v>9.9505222649807621</c:v>
                </c:pt>
                <c:pt idx="2">
                  <c:v>9.5343680709534286</c:v>
                </c:pt>
                <c:pt idx="3">
                  <c:v>11.585365853658537</c:v>
                </c:pt>
                <c:pt idx="4">
                  <c:v>12.803889789303087</c:v>
                </c:pt>
                <c:pt idx="5">
                  <c:v>17.512128691803554</c:v>
                </c:pt>
                <c:pt idx="6">
                  <c:v>7.2028238885708831</c:v>
                </c:pt>
                <c:pt idx="7">
                  <c:v>15.050368365659297</c:v>
                </c:pt>
                <c:pt idx="8">
                  <c:v>0</c:v>
                </c:pt>
                <c:pt idx="9">
                  <c:v>17.060422329082169</c:v>
                </c:pt>
                <c:pt idx="10">
                  <c:v>27.57253183051553</c:v>
                </c:pt>
                <c:pt idx="11">
                  <c:v>14.247395759416417</c:v>
                </c:pt>
              </c:numCache>
            </c:numRef>
          </c:val>
        </c:ser>
        <c:ser>
          <c:idx val="2"/>
          <c:order val="2"/>
          <c:tx>
            <c:strRef>
              <c:f>'figura 5 pag 7'!$D$4</c:f>
              <c:strCache>
                <c:ptCount val="1"/>
                <c:pt idx="0">
                  <c:v>Ula totali</c:v>
                </c:pt>
              </c:strCache>
            </c:strRef>
          </c:tx>
          <c:spPr>
            <a:solidFill>
              <a:srgbClr val="1F497D"/>
            </a:solidFill>
          </c:spPr>
          <c:invertIfNegative val="0"/>
          <c:dLbls>
            <c:dLbl>
              <c:idx val="0"/>
              <c:layout>
                <c:manualLayout>
                  <c:x val="-1.7882689556509301E-3"/>
                  <c:y val="-1.6813787305590584E-2"/>
                </c:manualLayout>
              </c:layout>
              <c:showLegendKey val="0"/>
              <c:showVal val="1"/>
              <c:showCatName val="0"/>
              <c:showSerName val="0"/>
              <c:showPercent val="0"/>
              <c:showBubbleSize val="0"/>
            </c:dLbl>
            <c:dLbl>
              <c:idx val="2"/>
              <c:layout>
                <c:manualLayout>
                  <c:x val="1.7882689556509301E-3"/>
                  <c:y val="-1.2610340479192938E-2"/>
                </c:manualLayout>
              </c:layout>
              <c:showLegendKey val="0"/>
              <c:showVal val="1"/>
              <c:showCatName val="0"/>
              <c:showSerName val="0"/>
              <c:showPercent val="0"/>
              <c:showBubbleSize val="0"/>
            </c:dLbl>
            <c:dLbl>
              <c:idx val="4"/>
              <c:layout>
                <c:manualLayout>
                  <c:x val="1.7882689556509962E-3"/>
                  <c:y val="-1.6813787305590584E-2"/>
                </c:manualLayout>
              </c:layout>
              <c:showLegendKey val="0"/>
              <c:showVal val="1"/>
              <c:showCatName val="0"/>
              <c:showSerName val="0"/>
              <c:showPercent val="0"/>
              <c:showBubbleSize val="0"/>
            </c:dLbl>
            <c:dLbl>
              <c:idx val="5"/>
              <c:layout>
                <c:manualLayout>
                  <c:x val="0"/>
                  <c:y val="-2.1017234131988229E-2"/>
                </c:manualLayout>
              </c:layout>
              <c:showLegendKey val="0"/>
              <c:showVal val="1"/>
              <c:showCatName val="0"/>
              <c:showSerName val="0"/>
              <c:showPercent val="0"/>
              <c:showBubbleSize val="0"/>
            </c:dLbl>
            <c:dLbl>
              <c:idx val="7"/>
              <c:layout>
                <c:manualLayout>
                  <c:x val="1.7882689556509301E-3"/>
                  <c:y val="-2.1017234131988267E-2"/>
                </c:manualLayout>
              </c:layout>
              <c:showLegendKey val="0"/>
              <c:showVal val="1"/>
              <c:showCatName val="0"/>
              <c:showSerName val="0"/>
              <c:showPercent val="0"/>
              <c:showBubbleSize val="0"/>
            </c:dLbl>
            <c:dLbl>
              <c:idx val="11"/>
              <c:layout>
                <c:manualLayout>
                  <c:x val="0"/>
                  <c:y val="-1.261034047919293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'figura 5 pag 7'!$A$5:$A$16</c:f>
              <c:strCache>
                <c:ptCount val="12"/>
                <c:pt idx="0">
                  <c:v>Agricoltura, silvicoltura e pesca</c:v>
                </c:pt>
                <c:pt idx="1">
                  <c:v>Produz. beni alimentari e di consumo</c:v>
                </c:pt>
                <c:pt idx="2">
                  <c:v>Produz. beni di investim.</c:v>
                </c:pt>
                <c:pt idx="3">
                  <c:v>Produz. beni intermedi, energia e rifiuti</c:v>
                </c:pt>
                <c:pt idx="4">
                  <c:v>Costruzioni</c:v>
                </c:pt>
                <c:pt idx="5">
                  <c:v>Comm. ingrosso e dettaglio, trasporti e magaz., alloggio e ristorazione</c:v>
                </c:pt>
                <c:pt idx="6">
                  <c:v>Servizi professionali</c:v>
                </c:pt>
                <c:pt idx="7">
                  <c:v>Altri servizi alle imprese</c:v>
                </c:pt>
                <c:pt idx="8">
                  <c:v>Servizi generali delle A.A.P.P.</c:v>
                </c:pt>
                <c:pt idx="9">
                  <c:v>Istruzione, sanità e assistenza sociale</c:v>
                </c:pt>
                <c:pt idx="10">
                  <c:v>Altri servizi alle persone</c:v>
                </c:pt>
                <c:pt idx="11">
                  <c:v>Totale</c:v>
                </c:pt>
              </c:strCache>
            </c:strRef>
          </c:cat>
          <c:val>
            <c:numRef>
              <c:f>'figura 5 pag 7'!$D$5:$D$16</c:f>
              <c:numCache>
                <c:formatCode>0.0</c:formatCode>
                <c:ptCount val="12"/>
                <c:pt idx="0">
                  <c:v>18.384</c:v>
                </c:pt>
                <c:pt idx="1">
                  <c:v>9.2555575746562546</c:v>
                </c:pt>
                <c:pt idx="2">
                  <c:v>5.9278737791134475</c:v>
                </c:pt>
                <c:pt idx="3">
                  <c:v>6.5642269847688368</c:v>
                </c:pt>
                <c:pt idx="4">
                  <c:v>16.983531931985524</c:v>
                </c:pt>
                <c:pt idx="5">
                  <c:v>15.808308184501717</c:v>
                </c:pt>
                <c:pt idx="6">
                  <c:v>8.147530735569914</c:v>
                </c:pt>
                <c:pt idx="7">
                  <c:v>9.3940068239133687</c:v>
                </c:pt>
                <c:pt idx="8">
                  <c:v>0</c:v>
                </c:pt>
                <c:pt idx="9">
                  <c:v>9.0265593804827873</c:v>
                </c:pt>
                <c:pt idx="10">
                  <c:v>47.706221282182184</c:v>
                </c:pt>
                <c:pt idx="11">
                  <c:v>15.450308613619089</c:v>
                </c:pt>
              </c:numCache>
            </c:numRef>
          </c:val>
        </c:ser>
        <c:dLbls>
          <c:showLegendKey val="0"/>
          <c:showVal val="0"/>
          <c:showCatName val="0"/>
          <c:showSerName val="0"/>
          <c:showPercent val="0"/>
          <c:showBubbleSize val="0"/>
        </c:dLbls>
        <c:gapWidth val="150"/>
        <c:axId val="77767040"/>
        <c:axId val="77768576"/>
      </c:barChart>
      <c:catAx>
        <c:axId val="77767040"/>
        <c:scaling>
          <c:orientation val="minMax"/>
        </c:scaling>
        <c:delete val="0"/>
        <c:axPos val="l"/>
        <c:majorGridlines>
          <c:spPr>
            <a:ln>
              <a:solidFill>
                <a:schemeClr val="bg1"/>
              </a:solidFill>
            </a:ln>
          </c:spPr>
        </c:majorGridlines>
        <c:majorTickMark val="out"/>
        <c:minorTickMark val="none"/>
        <c:tickLblPos val="nextTo"/>
        <c:spPr>
          <a:ln>
            <a:solidFill>
              <a:schemeClr val="bg1"/>
            </a:solidFill>
          </a:ln>
        </c:spPr>
        <c:crossAx val="77768576"/>
        <c:crosses val="autoZero"/>
        <c:auto val="1"/>
        <c:lblAlgn val="ctr"/>
        <c:lblOffset val="100"/>
        <c:noMultiLvlLbl val="0"/>
      </c:catAx>
      <c:valAx>
        <c:axId val="77768576"/>
        <c:scaling>
          <c:orientation val="minMax"/>
          <c:max val="60"/>
          <c:min val="0"/>
        </c:scaling>
        <c:delete val="0"/>
        <c:axPos val="b"/>
        <c:majorGridlines>
          <c:spPr>
            <a:ln>
              <a:solidFill>
                <a:schemeClr val="bg1"/>
              </a:solidFill>
            </a:ln>
          </c:spPr>
        </c:majorGridlines>
        <c:numFmt formatCode="0" sourceLinked="0"/>
        <c:majorTickMark val="out"/>
        <c:minorTickMark val="none"/>
        <c:tickLblPos val="nextTo"/>
        <c:spPr>
          <a:ln>
            <a:solidFill>
              <a:schemeClr val="bg1"/>
            </a:solidFill>
          </a:ln>
        </c:spPr>
        <c:crossAx val="77767040"/>
        <c:crosses val="autoZero"/>
        <c:crossBetween val="between"/>
        <c:majorUnit val="15"/>
      </c:valAx>
      <c:spPr>
        <a:noFill/>
      </c:spPr>
    </c:plotArea>
    <c:legend>
      <c:legendPos val="t"/>
      <c:layout>
        <c:manualLayout>
          <c:xMode val="edge"/>
          <c:yMode val="edge"/>
          <c:x val="0.38433305633899661"/>
          <c:y val="1.5444266766185781E-2"/>
          <c:w val="0.2941485056173318"/>
          <c:h val="7.633218107195891E-2"/>
        </c:manualLayout>
      </c:layout>
      <c:overlay val="0"/>
    </c:legend>
    <c:plotVisOnly val="1"/>
    <c:dispBlanksAs val="gap"/>
    <c:showDLblsOverMax val="0"/>
  </c:chart>
  <c:spPr>
    <a:solidFill>
      <a:schemeClr val="bg1">
        <a:alpha val="0"/>
      </a:schemeClr>
    </a:solidFill>
    <a:ln>
      <a:noFill/>
    </a:ln>
  </c:spPr>
  <c:txPr>
    <a:bodyPr/>
    <a:lstStyle/>
    <a:p>
      <a:pPr>
        <a:defRPr sz="700">
          <a:latin typeface="Arial Narrow" panose="020B0606020202030204" pitchFamily="34" charset="0"/>
        </a:defRPr>
      </a:pPr>
      <a:endParaRPr lang="it-I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80" b="1" i="0" u="none" strike="noStrike" baseline="0">
                <a:solidFill>
                  <a:srgbClr val="000000"/>
                </a:solidFill>
                <a:latin typeface="Arial Narrow"/>
                <a:ea typeface="Arial Narrow"/>
                <a:cs typeface="Arial Narrow"/>
              </a:defRPr>
            </a:pPr>
            <a:r>
              <a:rPr lang="it-IT" b="1"/>
              <a:t>Spesa per consumi finali delle famiglie                          Valore Aggiunto                 </a:t>
            </a:r>
          </a:p>
        </c:rich>
      </c:tx>
      <c:layout>
        <c:manualLayout>
          <c:xMode val="edge"/>
          <c:yMode val="edge"/>
          <c:x val="0.10441484632969265"/>
          <c:y val="3.1200446829959417E-2"/>
        </c:manualLayout>
      </c:layout>
      <c:overlay val="0"/>
      <c:spPr>
        <a:noFill/>
        <a:ln w="25400">
          <a:noFill/>
        </a:ln>
      </c:spPr>
    </c:title>
    <c:autoTitleDeleted val="0"/>
    <c:plotArea>
      <c:layout>
        <c:manualLayout>
          <c:layoutTarget val="inner"/>
          <c:xMode val="edge"/>
          <c:yMode val="edge"/>
          <c:x val="5.7478886207772417E-2"/>
          <c:y val="0.2596056692913386"/>
          <c:w val="0.86028033145071525"/>
          <c:h val="0.62677375328084006"/>
        </c:manualLayout>
      </c:layout>
      <c:barChart>
        <c:barDir val="bar"/>
        <c:grouping val="stacked"/>
        <c:varyColors val="0"/>
        <c:ser>
          <c:idx val="0"/>
          <c:order val="0"/>
          <c:tx>
            <c:strRef>
              <c:f>'Figura 6 pag 9'!$C$2:$C$3</c:f>
              <c:strCache>
                <c:ptCount val="1"/>
                <c:pt idx="0">
                  <c:v>Droga</c:v>
                </c:pt>
              </c:strCache>
            </c:strRef>
          </c:tx>
          <c:spPr>
            <a:solidFill>
              <a:srgbClr val="1F497D"/>
            </a:solidFill>
            <a:ln>
              <a:noFill/>
            </a:ln>
            <a:effectLst/>
          </c:spPr>
          <c:invertIfNegative val="0"/>
          <c:dLbls>
            <c:spPr>
              <a:noFill/>
              <a:ln w="25400">
                <a:noFill/>
              </a:ln>
            </c:spPr>
            <c:txPr>
              <a:bodyPr wrap="square" lIns="38100" tIns="19050" rIns="38100" bIns="19050" anchor="ctr">
                <a:spAutoFit/>
              </a:bodyPr>
              <a:lstStyle/>
              <a:p>
                <a:pPr>
                  <a:defRPr sz="900" b="1" i="0" u="none" strike="noStrike" baseline="0">
                    <a:solidFill>
                      <a:srgbClr val="FFFFFF"/>
                    </a:solidFill>
                    <a:latin typeface="Arial Narrow"/>
                    <a:ea typeface="Arial Narrow"/>
                    <a:cs typeface="Arial Narrow"/>
                  </a:defRPr>
                </a:pPr>
                <a:endParaRPr lang="it-I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'Figura 6 pag 9'!$B$4:$B$7</c:f>
              <c:numCache>
                <c:formatCode>General</c:formatCode>
                <c:ptCount val="4"/>
                <c:pt idx="0">
                  <c:v>2014</c:v>
                </c:pt>
                <c:pt idx="1">
                  <c:v>2015</c:v>
                </c:pt>
                <c:pt idx="2">
                  <c:v>2016</c:v>
                </c:pt>
                <c:pt idx="3">
                  <c:v>2017</c:v>
                </c:pt>
              </c:numCache>
            </c:numRef>
          </c:cat>
          <c:val>
            <c:numRef>
              <c:f>'Figura 6 pag 9'!$C$4:$C$7</c:f>
              <c:numCache>
                <c:formatCode>0.0</c:formatCode>
                <c:ptCount val="4"/>
                <c:pt idx="0">
                  <c:v>12.162122157229565</c:v>
                </c:pt>
                <c:pt idx="1">
                  <c:v>12.835876086135302</c:v>
                </c:pt>
                <c:pt idx="2">
                  <c:v>13.657404049523196</c:v>
                </c:pt>
                <c:pt idx="3">
                  <c:v>14.415732677202254</c:v>
                </c:pt>
              </c:numCache>
            </c:numRef>
          </c:val>
          <c:extLst xmlns:c16r2="http://schemas.microsoft.com/office/drawing/2015/06/chart">
            <c:ext xmlns:c16="http://schemas.microsoft.com/office/drawing/2014/chart" uri="{C3380CC4-5D6E-409C-BE32-E72D297353CC}">
              <c16:uniqueId val="{00000000-8F57-496E-BCBE-D4223B93BAD8}"/>
            </c:ext>
          </c:extLst>
        </c:ser>
        <c:ser>
          <c:idx val="1"/>
          <c:order val="1"/>
          <c:tx>
            <c:strRef>
              <c:f>'Figura 6 pag 9'!$D$2:$D$3</c:f>
              <c:strCache>
                <c:ptCount val="1"/>
                <c:pt idx="0">
                  <c:v>Droga</c:v>
                </c:pt>
              </c:strCache>
            </c:strRef>
          </c:tx>
          <c:spPr>
            <a:solidFill>
              <a:srgbClr val="1F497D"/>
            </a:solidFill>
            <a:ln>
              <a:noFill/>
            </a:ln>
            <a:effectLst/>
          </c:spPr>
          <c:invertIfNegative val="0"/>
          <c:dPt>
            <c:idx val="0"/>
            <c:invertIfNegative val="0"/>
            <c:bubble3D val="0"/>
            <c:spPr>
              <a:solidFill>
                <a:srgbClr val="1F497D"/>
              </a:solidFill>
              <a:ln w="25400">
                <a:noFill/>
              </a:ln>
            </c:spPr>
            <c:extLst xmlns:c16r2="http://schemas.microsoft.com/office/drawing/2015/06/chart">
              <c:ext xmlns:c16="http://schemas.microsoft.com/office/drawing/2014/chart" uri="{C3380CC4-5D6E-409C-BE32-E72D297353CC}">
                <c16:uniqueId val="{00000002-8F57-496E-BCBE-D4223B93BAD8}"/>
              </c:ext>
            </c:extLst>
          </c:dPt>
          <c:dLbls>
            <c:numFmt formatCode="#,##0.00;[White]#,##0.0" sourceLinked="0"/>
            <c:spPr>
              <a:noFill/>
              <a:ln w="25400">
                <a:noFill/>
              </a:ln>
            </c:spPr>
            <c:txPr>
              <a:bodyPr wrap="square" lIns="38100" tIns="19050" rIns="38100" bIns="19050" anchor="ctr">
                <a:spAutoFit/>
              </a:bodyPr>
              <a:lstStyle/>
              <a:p>
                <a:pPr>
                  <a:defRPr sz="900" b="1" i="0" u="none" strike="noStrike" baseline="0">
                    <a:solidFill>
                      <a:srgbClr val="FFFFFF"/>
                    </a:solidFill>
                    <a:latin typeface="Arial Narrow"/>
                    <a:ea typeface="Arial Narrow"/>
                    <a:cs typeface="Arial Narrow"/>
                  </a:defRPr>
                </a:pPr>
                <a:endParaRPr lang="it-I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'Figura 6 pag 9'!$B$4:$B$7</c:f>
              <c:numCache>
                <c:formatCode>General</c:formatCode>
                <c:ptCount val="4"/>
                <c:pt idx="0">
                  <c:v>2014</c:v>
                </c:pt>
                <c:pt idx="1">
                  <c:v>2015</c:v>
                </c:pt>
                <c:pt idx="2">
                  <c:v>2016</c:v>
                </c:pt>
                <c:pt idx="3">
                  <c:v>2017</c:v>
                </c:pt>
              </c:numCache>
            </c:numRef>
          </c:cat>
          <c:val>
            <c:numRef>
              <c:f>'Figura 6 pag 9'!$D$4:$D$7</c:f>
              <c:numCache>
                <c:formatCode>0.0</c:formatCode>
                <c:ptCount val="4"/>
                <c:pt idx="0">
                  <c:v>-13.208345118695059</c:v>
                </c:pt>
                <c:pt idx="1">
                  <c:v>-13.895104094603164</c:v>
                </c:pt>
                <c:pt idx="2">
                  <c:v>-14.819927077229597</c:v>
                </c:pt>
                <c:pt idx="3">
                  <c:v>-15.665079476733322</c:v>
                </c:pt>
              </c:numCache>
            </c:numRef>
          </c:val>
          <c:extLst xmlns:c16r2="http://schemas.microsoft.com/office/drawing/2015/06/chart">
            <c:ext xmlns:c16="http://schemas.microsoft.com/office/drawing/2014/chart" uri="{C3380CC4-5D6E-409C-BE32-E72D297353CC}">
              <c16:uniqueId val="{00000003-8F57-496E-BCBE-D4223B93BAD8}"/>
            </c:ext>
          </c:extLst>
        </c:ser>
        <c:ser>
          <c:idx val="2"/>
          <c:order val="2"/>
          <c:tx>
            <c:strRef>
              <c:f>'Figura 6 pag 9'!$E$2:$E$3</c:f>
              <c:strCache>
                <c:ptCount val="1"/>
                <c:pt idx="0">
                  <c:v>Prostituzione</c:v>
                </c:pt>
              </c:strCache>
            </c:strRef>
          </c:tx>
          <c:spPr>
            <a:solidFill>
              <a:srgbClr val="E42618"/>
            </a:solidFill>
            <a:ln w="25400">
              <a:noFill/>
            </a:ln>
          </c:spPr>
          <c:invertIfNegative val="0"/>
          <c:dLbls>
            <c:spPr>
              <a:noFill/>
              <a:ln w="25400">
                <a:noFill/>
              </a:ln>
            </c:spPr>
            <c:txPr>
              <a:bodyPr wrap="square" lIns="38100" tIns="19050" rIns="38100" bIns="19050" anchor="ctr">
                <a:spAutoFit/>
              </a:bodyPr>
              <a:lstStyle/>
              <a:p>
                <a:pPr>
                  <a:defRPr sz="900" b="1" i="0" u="none" strike="noStrike" baseline="0">
                    <a:solidFill>
                      <a:sysClr val="windowText" lastClr="000000"/>
                    </a:solidFill>
                    <a:latin typeface="Arial Narrow"/>
                    <a:ea typeface="Arial Narrow"/>
                    <a:cs typeface="Arial Narrow"/>
                  </a:defRPr>
                </a:pPr>
                <a:endParaRPr lang="it-I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'Figura 6 pag 9'!$B$4:$B$7</c:f>
              <c:numCache>
                <c:formatCode>General</c:formatCode>
                <c:ptCount val="4"/>
                <c:pt idx="0">
                  <c:v>2014</c:v>
                </c:pt>
                <c:pt idx="1">
                  <c:v>2015</c:v>
                </c:pt>
                <c:pt idx="2">
                  <c:v>2016</c:v>
                </c:pt>
                <c:pt idx="3">
                  <c:v>2017</c:v>
                </c:pt>
              </c:numCache>
            </c:numRef>
          </c:cat>
          <c:val>
            <c:numRef>
              <c:f>'Figura 6 pag 9'!$E$4:$E$7</c:f>
              <c:numCache>
                <c:formatCode>0.0</c:formatCode>
                <c:ptCount val="4"/>
                <c:pt idx="0">
                  <c:v>3.9499720610115281</c:v>
                </c:pt>
                <c:pt idx="1">
                  <c:v>3.969860404550356</c:v>
                </c:pt>
                <c:pt idx="2">
                  <c:v>3.9878729999999987</c:v>
                </c:pt>
                <c:pt idx="3">
                  <c:v>4.0141405594334607</c:v>
                </c:pt>
              </c:numCache>
            </c:numRef>
          </c:val>
          <c:extLst xmlns:c16r2="http://schemas.microsoft.com/office/drawing/2015/06/chart">
            <c:ext xmlns:c16="http://schemas.microsoft.com/office/drawing/2014/chart" uri="{C3380CC4-5D6E-409C-BE32-E72D297353CC}">
              <c16:uniqueId val="{00000004-8F57-496E-BCBE-D4223B93BAD8}"/>
            </c:ext>
          </c:extLst>
        </c:ser>
        <c:ser>
          <c:idx val="3"/>
          <c:order val="3"/>
          <c:tx>
            <c:strRef>
              <c:f>'Figura 6 pag 9'!$F$2:$F$3</c:f>
              <c:strCache>
                <c:ptCount val="1"/>
                <c:pt idx="0">
                  <c:v>Prostituzione</c:v>
                </c:pt>
              </c:strCache>
            </c:strRef>
          </c:tx>
          <c:spPr>
            <a:solidFill>
              <a:srgbClr val="E42618"/>
            </a:solidFill>
            <a:ln w="25400">
              <a:noFill/>
            </a:ln>
          </c:spPr>
          <c:invertIfNegative val="0"/>
          <c:dLbls>
            <c:dLbl>
              <c:idx val="0"/>
              <c:numFmt formatCode="#,##0.00;[Black]#,##0.0" sourceLinked="0"/>
              <c:spPr>
                <a:noFill/>
                <a:ln w="25400">
                  <a:noFill/>
                </a:ln>
              </c:spPr>
              <c:txPr>
                <a:bodyPr wrap="square" lIns="38100" tIns="19050" rIns="38100" bIns="19050" anchor="ctr">
                  <a:spAutoFit/>
                </a:bodyPr>
                <a:lstStyle/>
                <a:p>
                  <a:pPr>
                    <a:defRPr sz="900" b="1" i="0" u="none" strike="noStrike" baseline="0">
                      <a:solidFill>
                        <a:schemeClr val="bg1"/>
                      </a:solidFill>
                      <a:latin typeface="Arial Narrow"/>
                      <a:ea typeface="Arial Narrow"/>
                      <a:cs typeface="Arial Narrow"/>
                    </a:defRPr>
                  </a:pPr>
                  <a:endParaRPr lang="it-IT"/>
                </a:p>
              </c:txPr>
              <c:showLegendKey val="0"/>
              <c:showVal val="1"/>
              <c:showCatName val="0"/>
              <c:showSerName val="0"/>
              <c:showPercent val="0"/>
              <c:showBubbleSize val="0"/>
            </c:dLbl>
            <c:dLbl>
              <c:idx val="1"/>
              <c:numFmt formatCode="#,##0.00;[Black]#,##0.0" sourceLinked="0"/>
              <c:spPr>
                <a:noFill/>
                <a:ln w="25400">
                  <a:noFill/>
                </a:ln>
              </c:spPr>
              <c:txPr>
                <a:bodyPr wrap="square" lIns="38100" tIns="19050" rIns="38100" bIns="19050" anchor="ctr">
                  <a:spAutoFit/>
                </a:bodyPr>
                <a:lstStyle/>
                <a:p>
                  <a:pPr>
                    <a:defRPr sz="900" b="1" i="0" u="none" strike="noStrike" baseline="0">
                      <a:solidFill>
                        <a:schemeClr val="bg1"/>
                      </a:solidFill>
                      <a:latin typeface="Arial Narrow"/>
                      <a:ea typeface="Arial Narrow"/>
                      <a:cs typeface="Arial Narrow"/>
                    </a:defRPr>
                  </a:pPr>
                  <a:endParaRPr lang="it-IT"/>
                </a:p>
              </c:txPr>
              <c:showLegendKey val="0"/>
              <c:showVal val="1"/>
              <c:showCatName val="0"/>
              <c:showSerName val="0"/>
              <c:showPercent val="0"/>
              <c:showBubbleSize val="0"/>
            </c:dLbl>
            <c:dLbl>
              <c:idx val="2"/>
              <c:numFmt formatCode="#,##0.00;[Black]#,##0.0" sourceLinked="0"/>
              <c:spPr>
                <a:noFill/>
                <a:ln w="25400">
                  <a:noFill/>
                </a:ln>
              </c:spPr>
              <c:txPr>
                <a:bodyPr wrap="square" lIns="38100" tIns="19050" rIns="38100" bIns="19050" anchor="ctr">
                  <a:spAutoFit/>
                </a:bodyPr>
                <a:lstStyle/>
                <a:p>
                  <a:pPr>
                    <a:defRPr sz="900" b="1" i="0" u="none" strike="noStrike" baseline="0">
                      <a:solidFill>
                        <a:schemeClr val="bg1"/>
                      </a:solidFill>
                      <a:latin typeface="Arial Narrow"/>
                      <a:ea typeface="Arial Narrow"/>
                      <a:cs typeface="Arial Narrow"/>
                    </a:defRPr>
                  </a:pPr>
                  <a:endParaRPr lang="it-IT"/>
                </a:p>
              </c:txPr>
              <c:showLegendKey val="0"/>
              <c:showVal val="1"/>
              <c:showCatName val="0"/>
              <c:showSerName val="0"/>
              <c:showPercent val="0"/>
              <c:showBubbleSize val="0"/>
            </c:dLbl>
            <c:dLbl>
              <c:idx val="3"/>
              <c:numFmt formatCode="#,##0.00;[Black]#,##0.0" sourceLinked="0"/>
              <c:spPr>
                <a:noFill/>
                <a:ln w="25400">
                  <a:noFill/>
                </a:ln>
              </c:spPr>
              <c:txPr>
                <a:bodyPr wrap="square" lIns="38100" tIns="19050" rIns="38100" bIns="19050" anchor="ctr">
                  <a:spAutoFit/>
                </a:bodyPr>
                <a:lstStyle/>
                <a:p>
                  <a:pPr>
                    <a:defRPr sz="900" b="1" i="0" u="none" strike="noStrike" baseline="0">
                      <a:solidFill>
                        <a:schemeClr val="bg1"/>
                      </a:solidFill>
                      <a:latin typeface="Arial Narrow"/>
                      <a:ea typeface="Arial Narrow"/>
                      <a:cs typeface="Arial Narrow"/>
                    </a:defRPr>
                  </a:pPr>
                  <a:endParaRPr lang="it-IT"/>
                </a:p>
              </c:txPr>
              <c:showLegendKey val="0"/>
              <c:showVal val="1"/>
              <c:showCatName val="0"/>
              <c:showSerName val="0"/>
              <c:showPercent val="0"/>
              <c:showBubbleSize val="0"/>
            </c:dLbl>
            <c:numFmt formatCode="#,##0.00;[Black]#,##0.0" sourceLinked="0"/>
            <c:spPr>
              <a:noFill/>
              <a:ln w="25400">
                <a:noFill/>
              </a:ln>
            </c:spPr>
            <c:txPr>
              <a:bodyPr wrap="square" lIns="38100" tIns="19050" rIns="38100" bIns="19050" anchor="ctr">
                <a:spAutoFit/>
              </a:bodyPr>
              <a:lstStyle/>
              <a:p>
                <a:pPr>
                  <a:defRPr sz="900" b="0" i="0" u="none" strike="noStrike" baseline="0">
                    <a:solidFill>
                      <a:schemeClr val="bg1"/>
                    </a:solidFill>
                    <a:latin typeface="Arial Narrow"/>
                    <a:ea typeface="Arial Narrow"/>
                    <a:cs typeface="Arial Narrow"/>
                  </a:defRPr>
                </a:pPr>
                <a:endParaRPr lang="it-I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'Figura 6 pag 9'!$B$4:$B$7</c:f>
              <c:numCache>
                <c:formatCode>General</c:formatCode>
                <c:ptCount val="4"/>
                <c:pt idx="0">
                  <c:v>2014</c:v>
                </c:pt>
                <c:pt idx="1">
                  <c:v>2015</c:v>
                </c:pt>
                <c:pt idx="2">
                  <c:v>2016</c:v>
                </c:pt>
                <c:pt idx="3">
                  <c:v>2017</c:v>
                </c:pt>
              </c:numCache>
            </c:numRef>
          </c:cat>
          <c:val>
            <c:numRef>
              <c:f>'Figura 6 pag 9'!$F$4:$F$7</c:f>
              <c:numCache>
                <c:formatCode>0.0</c:formatCode>
                <c:ptCount val="4"/>
                <c:pt idx="0">
                  <c:v>-3.9499720610115281</c:v>
                </c:pt>
                <c:pt idx="1">
                  <c:v>-3.969860404550356</c:v>
                </c:pt>
                <c:pt idx="2">
                  <c:v>-3.9878729999999987</c:v>
                </c:pt>
                <c:pt idx="3">
                  <c:v>-4.0141405594334607</c:v>
                </c:pt>
              </c:numCache>
            </c:numRef>
          </c:val>
          <c:extLst xmlns:c16r2="http://schemas.microsoft.com/office/drawing/2015/06/chart">
            <c:ext xmlns:c16="http://schemas.microsoft.com/office/drawing/2014/chart" uri="{C3380CC4-5D6E-409C-BE32-E72D297353CC}">
              <c16:uniqueId val="{00000005-8F57-496E-BCBE-D4223B93BAD8}"/>
            </c:ext>
          </c:extLst>
        </c:ser>
        <c:ser>
          <c:idx val="4"/>
          <c:order val="4"/>
          <c:tx>
            <c:strRef>
              <c:f>'Figura 6 pag 9'!$G$2:$G$3</c:f>
              <c:strCache>
                <c:ptCount val="1"/>
                <c:pt idx="0">
                  <c:v>Contrabbando di sigarette</c:v>
                </c:pt>
              </c:strCache>
            </c:strRef>
          </c:tx>
          <c:spPr>
            <a:solidFill>
              <a:srgbClr val="9BBB59"/>
            </a:solidFill>
            <a:ln w="25400">
              <a:noFill/>
            </a:ln>
          </c:spPr>
          <c:invertIfNegative val="0"/>
          <c:dLbls>
            <c:dLbl>
              <c:idx val="0"/>
              <c:layout>
                <c:manualLayout>
                  <c:x val="1.2444444444444315E-2"/>
                  <c:y val="0"/>
                </c:manualLayout>
              </c:layout>
              <c:spPr>
                <a:noFill/>
                <a:ln w="25400">
                  <a:noFill/>
                </a:ln>
              </c:spPr>
              <c:txPr>
                <a:bodyPr/>
                <a:lstStyle/>
                <a:p>
                  <a:pPr>
                    <a:defRPr sz="900" b="0" i="0" u="none" strike="noStrike" baseline="0">
                      <a:solidFill>
                        <a:srgbClr val="333333"/>
                      </a:solidFill>
                      <a:latin typeface="Arial Narrow"/>
                      <a:ea typeface="Arial Narrow"/>
                      <a:cs typeface="Arial Narrow"/>
                    </a:defRPr>
                  </a:pPr>
                  <a:endParaRPr lang="it-IT"/>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F57-496E-BCBE-D4223B93BAD8}"/>
                </c:ext>
              </c:extLst>
            </c:dLbl>
            <c:dLbl>
              <c:idx val="1"/>
              <c:layout>
                <c:manualLayout>
                  <c:x val="1.6000000000000007E-2"/>
                  <c:y val="-1.1612428533680966E-16"/>
                </c:manualLayout>
              </c:layout>
              <c:spPr>
                <a:noFill/>
                <a:ln w="25400">
                  <a:noFill/>
                </a:ln>
              </c:spPr>
              <c:txPr>
                <a:bodyPr/>
                <a:lstStyle/>
                <a:p>
                  <a:pPr>
                    <a:defRPr sz="900" b="0" i="0" u="none" strike="noStrike" baseline="0">
                      <a:solidFill>
                        <a:srgbClr val="333333"/>
                      </a:solidFill>
                      <a:latin typeface="Arial Narrow"/>
                      <a:ea typeface="Arial Narrow"/>
                      <a:cs typeface="Arial Narrow"/>
                    </a:defRPr>
                  </a:pPr>
                  <a:endParaRPr lang="it-IT"/>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F57-496E-BCBE-D4223B93BAD8}"/>
                </c:ext>
              </c:extLst>
            </c:dLbl>
            <c:dLbl>
              <c:idx val="2"/>
              <c:layout>
                <c:manualLayout>
                  <c:x val="1.7777777777777649E-2"/>
                  <c:y val="0"/>
                </c:manualLayout>
              </c:layout>
              <c:spPr>
                <a:noFill/>
                <a:ln w="25400">
                  <a:noFill/>
                </a:ln>
              </c:spPr>
              <c:txPr>
                <a:bodyPr/>
                <a:lstStyle/>
                <a:p>
                  <a:pPr>
                    <a:defRPr sz="900" b="0" i="0" u="none" strike="noStrike" baseline="0">
                      <a:solidFill>
                        <a:srgbClr val="333333"/>
                      </a:solidFill>
                      <a:latin typeface="Arial Narrow"/>
                      <a:ea typeface="Arial Narrow"/>
                      <a:cs typeface="Arial Narrow"/>
                    </a:defRPr>
                  </a:pPr>
                  <a:endParaRPr lang="it-IT"/>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F57-496E-BCBE-D4223B93BAD8}"/>
                </c:ext>
              </c:extLst>
            </c:dLbl>
            <c:dLbl>
              <c:idx val="3"/>
              <c:layout>
                <c:manualLayout>
                  <c:x val="1.6000000000000007E-2"/>
                  <c:y val="0"/>
                </c:manualLayout>
              </c:layout>
              <c:spPr>
                <a:noFill/>
                <a:ln w="25400">
                  <a:noFill/>
                </a:ln>
              </c:spPr>
              <c:txPr>
                <a:bodyPr/>
                <a:lstStyle/>
                <a:p>
                  <a:pPr>
                    <a:defRPr sz="900" b="0" i="0" u="none" strike="noStrike" baseline="0">
                      <a:solidFill>
                        <a:srgbClr val="333333"/>
                      </a:solidFill>
                      <a:latin typeface="Arial Narrow"/>
                      <a:ea typeface="Arial Narrow"/>
                      <a:cs typeface="Arial Narrow"/>
                    </a:defRPr>
                  </a:pPr>
                  <a:endParaRPr lang="it-IT"/>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F57-496E-BCBE-D4223B93BAD8}"/>
                </c:ext>
              </c:extLst>
            </c:dLbl>
            <c:spPr>
              <a:noFill/>
              <a:ln w="25400">
                <a:noFill/>
              </a:ln>
            </c:spPr>
            <c:txPr>
              <a:bodyPr wrap="square" lIns="38100" tIns="19050" rIns="38100" bIns="19050" anchor="ctr">
                <a:spAutoFit/>
              </a:bodyPr>
              <a:lstStyle/>
              <a:p>
                <a:pPr>
                  <a:defRPr sz="900" b="0" i="0" u="none" strike="noStrike" baseline="0">
                    <a:solidFill>
                      <a:srgbClr val="333333"/>
                    </a:solidFill>
                    <a:latin typeface="Arial Narrow"/>
                    <a:ea typeface="Arial Narrow"/>
                    <a:cs typeface="Arial Narrow"/>
                  </a:defRPr>
                </a:pPr>
                <a:endParaRPr lang="it-I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'Figura 6 pag 9'!$B$4:$B$7</c:f>
              <c:numCache>
                <c:formatCode>General</c:formatCode>
                <c:ptCount val="4"/>
                <c:pt idx="0">
                  <c:v>2014</c:v>
                </c:pt>
                <c:pt idx="1">
                  <c:v>2015</c:v>
                </c:pt>
                <c:pt idx="2">
                  <c:v>2016</c:v>
                </c:pt>
                <c:pt idx="3">
                  <c:v>2017</c:v>
                </c:pt>
              </c:numCache>
            </c:numRef>
          </c:cat>
          <c:val>
            <c:numRef>
              <c:f>'Figura 6 pag 9'!$G$4:$G$7</c:f>
              <c:numCache>
                <c:formatCode>0.0</c:formatCode>
                <c:ptCount val="4"/>
                <c:pt idx="0">
                  <c:v>0.35159430504682265</c:v>
                </c:pt>
                <c:pt idx="1">
                  <c:v>0.42754142876507611</c:v>
                </c:pt>
                <c:pt idx="2">
                  <c:v>0.43222702641430555</c:v>
                </c:pt>
                <c:pt idx="3">
                  <c:v>0.46656323717094894</c:v>
                </c:pt>
              </c:numCache>
            </c:numRef>
          </c:val>
          <c:extLst xmlns:c16r2="http://schemas.microsoft.com/office/drawing/2015/06/chart">
            <c:ext xmlns:c16="http://schemas.microsoft.com/office/drawing/2014/chart" uri="{C3380CC4-5D6E-409C-BE32-E72D297353CC}">
              <c16:uniqueId val="{0000000A-8F57-496E-BCBE-D4223B93BAD8}"/>
            </c:ext>
          </c:extLst>
        </c:ser>
        <c:ser>
          <c:idx val="5"/>
          <c:order val="5"/>
          <c:tx>
            <c:strRef>
              <c:f>'Figura 6 pag 9'!$H$2:$H$3</c:f>
              <c:strCache>
                <c:ptCount val="1"/>
                <c:pt idx="0">
                  <c:v>Contrabbando di sigarette</c:v>
                </c:pt>
              </c:strCache>
            </c:strRef>
          </c:tx>
          <c:spPr>
            <a:solidFill>
              <a:srgbClr val="70AD47"/>
            </a:solidFill>
            <a:ln w="25400">
              <a:noFill/>
            </a:ln>
          </c:spPr>
          <c:invertIfNegative val="0"/>
          <c:dLbls>
            <c:dLbl>
              <c:idx val="0"/>
              <c:layout>
                <c:manualLayout>
                  <c:x val="-1.6000000000000007E-2"/>
                  <c:y val="0"/>
                </c:manualLayout>
              </c:layout>
              <c:numFmt formatCode="#,##0.0;[Black]#,##0.0" sourceLinked="0"/>
              <c:spPr>
                <a:noFill/>
                <a:ln w="25400">
                  <a:noFill/>
                </a:ln>
              </c:spPr>
              <c:txPr>
                <a:bodyPr/>
                <a:lstStyle/>
                <a:p>
                  <a:pPr>
                    <a:defRPr sz="900" b="0" i="0" u="none" strike="noStrike" baseline="0">
                      <a:solidFill>
                        <a:srgbClr val="333333"/>
                      </a:solidFill>
                      <a:latin typeface="Arial Narrow"/>
                      <a:ea typeface="Arial Narrow"/>
                      <a:cs typeface="Arial Narrow"/>
                    </a:defRPr>
                  </a:pPr>
                  <a:endParaRPr lang="it-IT"/>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F57-496E-BCBE-D4223B93BAD8}"/>
                </c:ext>
              </c:extLst>
            </c:dLbl>
            <c:dLbl>
              <c:idx val="1"/>
              <c:layout>
                <c:manualLayout>
                  <c:x val="-1.6000000000000007E-2"/>
                  <c:y val="1.1612428533680966E-16"/>
                </c:manualLayout>
              </c:layout>
              <c:numFmt formatCode="#,##0.0;[Black]#,##0.0" sourceLinked="0"/>
              <c:spPr>
                <a:noFill/>
                <a:ln w="25400">
                  <a:noFill/>
                </a:ln>
              </c:spPr>
              <c:txPr>
                <a:bodyPr/>
                <a:lstStyle/>
                <a:p>
                  <a:pPr>
                    <a:defRPr sz="900" b="0" i="0" u="none" strike="noStrike" baseline="0">
                      <a:solidFill>
                        <a:srgbClr val="333333"/>
                      </a:solidFill>
                      <a:latin typeface="Arial Narrow"/>
                      <a:ea typeface="Arial Narrow"/>
                      <a:cs typeface="Arial Narrow"/>
                    </a:defRPr>
                  </a:pPr>
                  <a:endParaRPr lang="it-IT"/>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F57-496E-BCBE-D4223B93BAD8}"/>
                </c:ext>
              </c:extLst>
            </c:dLbl>
            <c:dLbl>
              <c:idx val="2"/>
              <c:layout>
                <c:manualLayout>
                  <c:x val="-1.6000000000000007E-2"/>
                  <c:y val="0"/>
                </c:manualLayout>
              </c:layout>
              <c:numFmt formatCode="#,##0.0;[Black]#,##0.0" sourceLinked="0"/>
              <c:spPr>
                <a:noFill/>
                <a:ln w="25400">
                  <a:noFill/>
                </a:ln>
              </c:spPr>
              <c:txPr>
                <a:bodyPr/>
                <a:lstStyle/>
                <a:p>
                  <a:pPr>
                    <a:defRPr sz="900" b="0" i="0" u="none" strike="noStrike" baseline="0">
                      <a:solidFill>
                        <a:srgbClr val="333333"/>
                      </a:solidFill>
                      <a:latin typeface="Arial Narrow"/>
                      <a:ea typeface="Arial Narrow"/>
                      <a:cs typeface="Arial Narrow"/>
                    </a:defRPr>
                  </a:pPr>
                  <a:endParaRPr lang="it-IT"/>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F57-496E-BCBE-D4223B93BAD8}"/>
                </c:ext>
              </c:extLst>
            </c:dLbl>
            <c:dLbl>
              <c:idx val="3"/>
              <c:layout>
                <c:manualLayout>
                  <c:x val="-1.7647414492036665E-2"/>
                  <c:y val="-3.3264180300815386E-3"/>
                </c:manualLayout>
              </c:layout>
              <c:numFmt formatCode="#,##0.0;[Black]#,##0.0" sourceLinked="0"/>
              <c:spPr>
                <a:noFill/>
                <a:ln w="25400">
                  <a:noFill/>
                </a:ln>
              </c:spPr>
              <c:txPr>
                <a:bodyPr/>
                <a:lstStyle/>
                <a:p>
                  <a:pPr>
                    <a:defRPr sz="900" b="0" i="0" u="none" strike="noStrike" baseline="0">
                      <a:solidFill>
                        <a:srgbClr val="333333"/>
                      </a:solidFill>
                      <a:latin typeface="Arial Narrow"/>
                      <a:ea typeface="Arial Narrow"/>
                      <a:cs typeface="Arial Narrow"/>
                    </a:defRPr>
                  </a:pPr>
                  <a:endParaRPr lang="it-IT"/>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F57-496E-BCBE-D4223B93BAD8}"/>
                </c:ext>
              </c:extLst>
            </c:dLbl>
            <c:numFmt formatCode="#,##0.0;[Black]#,##0.0" sourceLinked="0"/>
            <c:spPr>
              <a:noFill/>
              <a:ln w="25400">
                <a:noFill/>
              </a:ln>
            </c:spPr>
            <c:txPr>
              <a:bodyPr wrap="square" lIns="38100" tIns="19050" rIns="38100" bIns="19050" anchor="ctr">
                <a:spAutoFit/>
              </a:bodyPr>
              <a:lstStyle/>
              <a:p>
                <a:pPr>
                  <a:defRPr sz="900" b="0" i="0" u="none" strike="noStrike" baseline="0">
                    <a:solidFill>
                      <a:srgbClr val="333333"/>
                    </a:solidFill>
                    <a:latin typeface="Arial Narrow"/>
                    <a:ea typeface="Arial Narrow"/>
                    <a:cs typeface="Arial Narrow"/>
                  </a:defRPr>
                </a:pPr>
                <a:endParaRPr lang="it-I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'Figura 6 pag 9'!$B$4:$B$7</c:f>
              <c:numCache>
                <c:formatCode>General</c:formatCode>
                <c:ptCount val="4"/>
                <c:pt idx="0">
                  <c:v>2014</c:v>
                </c:pt>
                <c:pt idx="1">
                  <c:v>2015</c:v>
                </c:pt>
                <c:pt idx="2">
                  <c:v>2016</c:v>
                </c:pt>
                <c:pt idx="3">
                  <c:v>2017</c:v>
                </c:pt>
              </c:numCache>
            </c:numRef>
          </c:cat>
          <c:val>
            <c:numRef>
              <c:f>'Figura 6 pag 9'!$H$4:$H$7</c:f>
              <c:numCache>
                <c:formatCode>0.0</c:formatCode>
                <c:ptCount val="4"/>
                <c:pt idx="0">
                  <c:v>-0.46902445662358605</c:v>
                </c:pt>
                <c:pt idx="1">
                  <c:v>-0.58908513995567968</c:v>
                </c:pt>
                <c:pt idx="2">
                  <c:v>-0.5959274620766245</c:v>
                </c:pt>
                <c:pt idx="3">
                  <c:v>-0.65177495682567821</c:v>
                </c:pt>
              </c:numCache>
            </c:numRef>
          </c:val>
          <c:extLst xmlns:c16r2="http://schemas.microsoft.com/office/drawing/2015/06/chart">
            <c:ext xmlns:c16="http://schemas.microsoft.com/office/drawing/2014/chart" uri="{C3380CC4-5D6E-409C-BE32-E72D297353CC}">
              <c16:uniqueId val="{0000000F-8F57-496E-BCBE-D4223B93BAD8}"/>
            </c:ext>
          </c:extLst>
        </c:ser>
        <c:dLbls>
          <c:showLegendKey val="0"/>
          <c:showVal val="0"/>
          <c:showCatName val="0"/>
          <c:showSerName val="0"/>
          <c:showPercent val="0"/>
          <c:showBubbleSize val="0"/>
        </c:dLbls>
        <c:gapWidth val="100"/>
        <c:overlap val="100"/>
        <c:axId val="77835264"/>
        <c:axId val="77853440"/>
      </c:barChart>
      <c:catAx>
        <c:axId val="77835264"/>
        <c:scaling>
          <c:orientation val="minMax"/>
        </c:scaling>
        <c:delete val="0"/>
        <c:axPos val="l"/>
        <c:majorGridlines>
          <c:spPr>
            <a:ln>
              <a:solidFill>
                <a:schemeClr val="bg1"/>
              </a:solidFill>
            </a:ln>
          </c:spPr>
        </c:majorGridlines>
        <c:numFmt formatCode="General" sourceLinked="1"/>
        <c:majorTickMark val="out"/>
        <c:minorTickMark val="out"/>
        <c:tickLblPos val="low"/>
        <c:spPr>
          <a:noFill/>
          <a:ln w="327025" cmpd="sng">
            <a:noFill/>
            <a:round/>
          </a:ln>
          <a:effectLst/>
        </c:spPr>
        <c:txPr>
          <a:bodyPr rot="0" vert="horz"/>
          <a:lstStyle/>
          <a:p>
            <a:pPr>
              <a:defRPr sz="900" b="0" i="0" u="none" strike="noStrike" baseline="0">
                <a:solidFill>
                  <a:srgbClr val="000000"/>
                </a:solidFill>
                <a:latin typeface="Arial Narrow"/>
                <a:ea typeface="Arial Narrow"/>
                <a:cs typeface="Arial Narrow"/>
              </a:defRPr>
            </a:pPr>
            <a:endParaRPr lang="it-IT"/>
          </a:p>
        </c:txPr>
        <c:crossAx val="77853440"/>
        <c:crossesAt val="0"/>
        <c:auto val="1"/>
        <c:lblAlgn val="ctr"/>
        <c:lblOffset val="100"/>
        <c:tickLblSkip val="1"/>
        <c:noMultiLvlLbl val="0"/>
      </c:catAx>
      <c:valAx>
        <c:axId val="77853440"/>
        <c:scaling>
          <c:orientation val="minMax"/>
        </c:scaling>
        <c:delete val="0"/>
        <c:axPos val="b"/>
        <c:majorGridlines>
          <c:spPr>
            <a:ln>
              <a:solidFill>
                <a:schemeClr val="bg1"/>
              </a:solidFill>
            </a:ln>
          </c:spPr>
        </c:majorGridlines>
        <c:numFmt formatCode="General" sourceLinked="0"/>
        <c:majorTickMark val="none"/>
        <c:minorTickMark val="none"/>
        <c:tickLblPos val="nextTo"/>
        <c:spPr>
          <a:ln w="6350">
            <a:noFill/>
          </a:ln>
        </c:spPr>
        <c:txPr>
          <a:bodyPr rot="0" vert="horz"/>
          <a:lstStyle/>
          <a:p>
            <a:pPr>
              <a:defRPr sz="900" b="0" i="0" u="none" strike="noStrike" baseline="0">
                <a:solidFill>
                  <a:srgbClr val="000000"/>
                </a:solidFill>
                <a:latin typeface="Arial Narrow"/>
                <a:ea typeface="Arial Narrow"/>
                <a:cs typeface="Arial Narrow"/>
              </a:defRPr>
            </a:pPr>
            <a:endParaRPr lang="it-IT"/>
          </a:p>
        </c:txPr>
        <c:crossAx val="77835264"/>
        <c:crosses val="autoZero"/>
        <c:crossBetween val="between"/>
      </c:valAx>
      <c:spPr>
        <a:noFill/>
        <a:ln w="6350">
          <a:solidFill>
            <a:schemeClr val="bg1"/>
          </a:solidFill>
        </a:ln>
      </c:spPr>
    </c:plotArea>
    <c:legend>
      <c:legendPos val="t"/>
      <c:legendEntry>
        <c:idx val="0"/>
        <c:delete val="1"/>
      </c:legendEntry>
      <c:legendEntry>
        <c:idx val="2"/>
        <c:delete val="1"/>
      </c:legendEntry>
      <c:legendEntry>
        <c:idx val="4"/>
        <c:delete val="1"/>
      </c:legendEntry>
      <c:layout>
        <c:manualLayout>
          <c:xMode val="edge"/>
          <c:yMode val="edge"/>
          <c:x val="0.3078103568707139"/>
          <c:y val="0.1247466666666667"/>
          <c:w val="0.38841154432308878"/>
          <c:h val="8.1315275590551198E-2"/>
        </c:manualLayout>
      </c:layout>
      <c:overlay val="0"/>
      <c:spPr>
        <a:noFill/>
        <a:ln w="25400">
          <a:noFill/>
        </a:ln>
      </c:spPr>
      <c:txPr>
        <a:bodyPr/>
        <a:lstStyle/>
        <a:p>
          <a:pPr>
            <a:defRPr sz="825" b="0" i="0" u="none" strike="noStrike" baseline="0">
              <a:solidFill>
                <a:srgbClr val="333333"/>
              </a:solidFill>
              <a:latin typeface="Arial Narrow"/>
              <a:ea typeface="Arial Narrow"/>
              <a:cs typeface="Arial Narrow"/>
            </a:defRPr>
          </a:pPr>
          <a:endParaRPr lang="it-IT"/>
        </a:p>
      </c:txPr>
    </c:legend>
    <c:plotVisOnly val="1"/>
    <c:dispBlanksAs val="gap"/>
    <c:showDLblsOverMax val="0"/>
  </c:chart>
  <c:spPr>
    <a:noFill/>
    <a:ln w="6350">
      <a:noFill/>
    </a:ln>
  </c:spPr>
  <c:txPr>
    <a:bodyPr/>
    <a:lstStyle/>
    <a:p>
      <a:pPr>
        <a:defRPr sz="900" b="0" i="0" u="none" strike="noStrike" baseline="0">
          <a:solidFill>
            <a:srgbClr val="000000"/>
          </a:solidFill>
          <a:latin typeface="Arial Narrow"/>
          <a:ea typeface="Arial Narrow"/>
          <a:cs typeface="Arial Narrow"/>
        </a:defRPr>
      </a:pPr>
      <a:endParaRPr lang="it-IT"/>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0.48589</cdr:x>
      <cdr:y>0.26133</cdr:y>
    </cdr:from>
    <cdr:to>
      <cdr:x>0.4879</cdr:x>
      <cdr:y>0.888</cdr:y>
    </cdr:to>
    <cdr:cxnSp macro="">
      <cdr:nvCxnSpPr>
        <cdr:cNvPr id="2" name="Connettore 1 1"/>
        <cdr:cNvCxnSpPr/>
      </cdr:nvCxnSpPr>
      <cdr:spPr>
        <a:xfrm xmlns:a="http://schemas.openxmlformats.org/drawingml/2006/main" flipH="1">
          <a:off x="3060700" y="622300"/>
          <a:ext cx="12700" cy="1492250"/>
        </a:xfrm>
        <a:prstGeom xmlns:a="http://schemas.openxmlformats.org/drawingml/2006/main" prst="line">
          <a:avLst/>
        </a:prstGeom>
        <a:ln xmlns:a="http://schemas.openxmlformats.org/drawingml/2006/main">
          <a:solidFill>
            <a:schemeClr val="accent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alpha val="0"/>
          </a:srgbClr>
        </a:solidFill>
        <a:ln w="9525">
          <a:noFill/>
          <a:miter lim="800000"/>
          <a:headEnd/>
          <a:tailEnd/>
        </a:ln>
      </a:spPr>
      <a:bodyPr rot="0" vert="horz" wrap="square" lIns="91440" tIns="45720" rIns="91440" bIns="45720" anchor="t" anchorCtr="0">
        <a:spAutoFit/>
      </a:bodyPr>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36C57-2872-45D6-A169-8054F61E8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7300</Words>
  <Characters>41615</Characters>
  <Application>Microsoft Office Word</Application>
  <DocSecurity>0</DocSecurity>
  <Lines>346</Lines>
  <Paragraphs>97</Paragraphs>
  <ScaleCrop>false</ScaleCrop>
  <HeadingPairs>
    <vt:vector size="2" baseType="variant">
      <vt:variant>
        <vt:lpstr>Titolo</vt:lpstr>
      </vt:variant>
      <vt:variant>
        <vt:i4>1</vt:i4>
      </vt:variant>
    </vt:vector>
  </HeadingPairs>
  <TitlesOfParts>
    <vt:vector size="1" baseType="lpstr">
      <vt:lpstr/>
    </vt:vector>
  </TitlesOfParts>
  <Company>ISTAT</Company>
  <LinksUpToDate>false</LinksUpToDate>
  <CharactersWithSpaces>48818</CharactersWithSpaces>
  <SharedDoc>false</SharedDoc>
  <HLinks>
    <vt:vector size="18" baseType="variant">
      <vt:variant>
        <vt:i4>4456451</vt:i4>
      </vt:variant>
      <vt:variant>
        <vt:i4>3</vt:i4>
      </vt:variant>
      <vt:variant>
        <vt:i4>0</vt:i4>
      </vt:variant>
      <vt:variant>
        <vt:i4>5</vt:i4>
      </vt:variant>
      <vt:variant>
        <vt:lpwstr>http://demo.istat.it/</vt:lpwstr>
      </vt:variant>
      <vt:variant>
        <vt:lpwstr/>
      </vt:variant>
      <vt:variant>
        <vt:i4>5374032</vt:i4>
      </vt:variant>
      <vt:variant>
        <vt:i4>0</vt:i4>
      </vt:variant>
      <vt:variant>
        <vt:i4>0</vt:i4>
      </vt:variant>
      <vt:variant>
        <vt:i4>5</vt:i4>
      </vt:variant>
      <vt:variant>
        <vt:lpwstr>http://www.istat.it/it/archivio/99464</vt:lpwstr>
      </vt:variant>
      <vt:variant>
        <vt:lpwstr/>
      </vt:variant>
      <vt:variant>
        <vt:i4>2228278</vt:i4>
      </vt:variant>
      <vt:variant>
        <vt:i4>0</vt:i4>
      </vt:variant>
      <vt:variant>
        <vt:i4>0</vt:i4>
      </vt:variant>
      <vt:variant>
        <vt:i4>5</vt:i4>
      </vt:variant>
      <vt:variant>
        <vt:lpwstr>http://epp.eurostat.ec.europa.eu/portal/page/portal/population/data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template</dc:creator>
  <cp:lastModifiedBy>Enza Lucia Vaccaro</cp:lastModifiedBy>
  <cp:revision>2</cp:revision>
  <cp:lastPrinted>2019-01-25T12:14:00Z</cp:lastPrinted>
  <dcterms:created xsi:type="dcterms:W3CDTF">2019-10-15T07:54:00Z</dcterms:created>
  <dcterms:modified xsi:type="dcterms:W3CDTF">2019-10-15T07:54:00Z</dcterms:modified>
</cp:coreProperties>
</file>